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13</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noWrap w:val="0"/>
            <w:vAlign w:val="center"/>
          </w:tcPr>
          <w:p>
            <w:pPr>
              <w:jc w:val="center"/>
            </w:pPr>
            <w:r>
              <w:rPr>
                <w:rFonts w:hint="eastAsia"/>
              </w:rPr>
              <w:t>授课章（单元）及内容</w:t>
            </w:r>
          </w:p>
        </w:tc>
        <w:tc>
          <w:tcPr>
            <w:tcW w:w="4812" w:type="dxa"/>
            <w:noWrap w:val="0"/>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rPr>
              <w:t>林黛玉进贾府</w:t>
            </w:r>
          </w:p>
        </w:tc>
        <w:tc>
          <w:tcPr>
            <w:tcW w:w="948" w:type="dxa"/>
            <w:noWrap w:val="0"/>
            <w:vAlign w:val="center"/>
          </w:tcPr>
          <w:p>
            <w:pPr>
              <w:jc w:val="center"/>
            </w:pPr>
            <w:r>
              <w:rPr>
                <w:rFonts w:hint="eastAsia"/>
              </w:rPr>
              <w:t>课时</w:t>
            </w:r>
          </w:p>
          <w:p>
            <w:pPr>
              <w:jc w:val="center"/>
            </w:pPr>
            <w:r>
              <w:rPr>
                <w:rFonts w:hint="eastAsia"/>
              </w:rPr>
              <w:t>安排</w:t>
            </w:r>
          </w:p>
        </w:tc>
        <w:tc>
          <w:tcPr>
            <w:tcW w:w="1260" w:type="dxa"/>
            <w:gridSpan w:val="3"/>
            <w:noWrap w:val="0"/>
            <w:vAlign w:val="center"/>
          </w:tcPr>
          <w:p>
            <w:pPr>
              <w:jc w:val="center"/>
              <w:rPr>
                <w:rFonts w:hint="eastAsia" w:eastAsia="宋体"/>
                <w:color w:val="FF0000"/>
                <w:lang w:val="en-US" w:eastAsia="zh-CN"/>
              </w:rPr>
            </w:pPr>
            <w:r>
              <w:rPr>
                <w:rFonts w:hint="eastAsia"/>
                <w:color w:val="FF0000"/>
                <w:lang w:val="en-US" w:eastAsia="zh-CN"/>
              </w:rPr>
              <w:t>5</w:t>
            </w:r>
          </w:p>
        </w:tc>
        <w:tc>
          <w:tcPr>
            <w:tcW w:w="720" w:type="dxa"/>
            <w:gridSpan w:val="2"/>
            <w:noWrap w:val="0"/>
            <w:vAlign w:val="center"/>
          </w:tcPr>
          <w:p>
            <w:pPr>
              <w:jc w:val="center"/>
            </w:pPr>
            <w:r>
              <w:rPr>
                <w:rFonts w:hint="eastAsia"/>
              </w:rPr>
              <w:t>备课</w:t>
            </w:r>
          </w:p>
          <w:p>
            <w:pPr>
              <w:jc w:val="center"/>
              <w:rPr>
                <w:color w:val="FF0000"/>
              </w:rPr>
            </w:pPr>
            <w:r>
              <w:rPr>
                <w:rFonts w:hint="eastAsia"/>
              </w:rPr>
              <w:t>时间</w:t>
            </w:r>
          </w:p>
        </w:tc>
        <w:tc>
          <w:tcPr>
            <w:tcW w:w="908" w:type="dxa"/>
            <w:noWrap w:val="0"/>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noWrap w:val="0"/>
            <w:vAlign w:val="center"/>
          </w:tcPr>
          <w:p>
            <w:pPr>
              <w:jc w:val="center"/>
            </w:pPr>
            <w:r>
              <w:rPr>
                <w:rFonts w:hint="eastAsia"/>
              </w:rPr>
              <w:t>教学目标</w:t>
            </w:r>
          </w:p>
        </w:tc>
        <w:tc>
          <w:tcPr>
            <w:tcW w:w="9009" w:type="dxa"/>
            <w:gridSpan w:val="9"/>
            <w:noWrap w:val="0"/>
            <w:vAlign w:val="center"/>
          </w:tcPr>
          <w:p>
            <w:pPr>
              <w:rPr>
                <w:rFonts w:hint="eastAsia" w:ascii="宋体" w:hAnsi="宋体"/>
                <w:szCs w:val="21"/>
              </w:rPr>
            </w:pPr>
            <w:r>
              <w:rPr>
                <w:rFonts w:hint="eastAsia" w:ascii="宋体" w:hAnsi="宋体"/>
                <w:szCs w:val="21"/>
              </w:rPr>
              <w:t>1.了解古典名著《红楼梦》的作者及其故事情节大意；</w:t>
            </w:r>
          </w:p>
          <w:p>
            <w:pPr>
              <w:rPr>
                <w:rFonts w:hint="eastAsia" w:ascii="宋体" w:hAnsi="宋体"/>
                <w:szCs w:val="21"/>
              </w:rPr>
            </w:pPr>
            <w:r>
              <w:rPr>
                <w:rFonts w:hint="eastAsia" w:ascii="宋体" w:hAnsi="宋体"/>
                <w:szCs w:val="21"/>
              </w:rPr>
              <w:t>2.体会本文人物出场的特点和重要人物的性格特征；</w:t>
            </w:r>
          </w:p>
          <w:p>
            <w:pPr>
              <w:rPr>
                <w:rFonts w:hint="eastAsia" w:ascii="宋体" w:hAnsi="宋体"/>
                <w:szCs w:val="21"/>
              </w:rPr>
            </w:pPr>
            <w:r>
              <w:rPr>
                <w:rFonts w:hint="eastAsia" w:ascii="宋体" w:hAnsi="宋体"/>
                <w:szCs w:val="21"/>
              </w:rPr>
              <w:t>3.通过文章环境，把握作品的主题；</w:t>
            </w:r>
          </w:p>
          <w:p>
            <w:pPr>
              <w:keepNext w:val="0"/>
              <w:keepLines w:val="0"/>
              <w:widowControl/>
              <w:suppressLineNumbers w:val="0"/>
              <w:shd w:val="clear" w:color="auto" w:fill="FFFFFF"/>
              <w:ind w:left="0" w:firstLine="0"/>
              <w:jc w:val="left"/>
            </w:pPr>
            <w:r>
              <w:rPr>
                <w:rFonts w:hint="eastAsia" w:ascii="宋体" w:hAnsi="宋体"/>
                <w:szCs w:val="21"/>
              </w:rPr>
              <w:t>4.认识封建大家族的腐朽没落，理解贾宝玉追求个性自由反封建的精神。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noWrap w:val="0"/>
            <w:vAlign w:val="center"/>
          </w:tcPr>
          <w:p>
            <w:pPr>
              <w:jc w:val="center"/>
            </w:pPr>
            <w:r>
              <w:rPr>
                <w:rFonts w:hint="eastAsia"/>
              </w:rPr>
              <w:t>教学重点</w:t>
            </w:r>
          </w:p>
        </w:tc>
        <w:tc>
          <w:tcPr>
            <w:tcW w:w="9009" w:type="dxa"/>
            <w:gridSpan w:val="9"/>
            <w:noWrap w:val="0"/>
            <w:vAlign w:val="center"/>
          </w:tcPr>
          <w:p>
            <w:pPr>
              <w:rPr>
                <w:rFonts w:hint="eastAsia" w:ascii="宋体" w:hAnsi="宋体" w:eastAsia="宋体" w:cs="宋体"/>
                <w:kern w:val="2"/>
                <w:sz w:val="21"/>
                <w:szCs w:val="21"/>
                <w:lang w:val="en-US" w:eastAsia="zh-CN" w:bidi="ar-SA"/>
              </w:rPr>
            </w:pPr>
            <w:r>
              <w:rPr>
                <w:rFonts w:hint="eastAsia" w:ascii="宋体" w:hAnsi="宋体"/>
                <w:szCs w:val="21"/>
              </w:rPr>
              <w:t>训练学生通过揣摩人物语言、动作及细节描写把握人物性格的能力。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noWrap w:val="0"/>
            <w:vAlign w:val="center"/>
          </w:tcPr>
          <w:p>
            <w:pPr>
              <w:jc w:val="center"/>
            </w:pPr>
            <w:r>
              <w:rPr>
                <w:rFonts w:hint="eastAsia"/>
              </w:rPr>
              <w:t>教学难点</w:t>
            </w:r>
          </w:p>
        </w:tc>
        <w:tc>
          <w:tcPr>
            <w:tcW w:w="9009" w:type="dxa"/>
            <w:gridSpan w:val="9"/>
            <w:noWrap w:val="0"/>
            <w:vAlign w:val="center"/>
          </w:tcPr>
          <w:p>
            <w:pPr>
              <w:rPr>
                <w:rFonts w:hint="eastAsia" w:ascii="宋体" w:hAnsi="宋体" w:eastAsia="宋体" w:cs="宋体"/>
                <w:kern w:val="2"/>
                <w:sz w:val="21"/>
                <w:szCs w:val="21"/>
                <w:lang w:val="en-US" w:eastAsia="zh-CN" w:bidi="ar-SA"/>
              </w:rPr>
            </w:pPr>
            <w:r>
              <w:rPr>
                <w:rFonts w:hint="eastAsia" w:ascii="宋体" w:hAnsi="宋体"/>
                <w:szCs w:val="21"/>
              </w:rPr>
              <w:t>掌握《红楼梦》人物语言含蓄美的特点。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noWrap w:val="0"/>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提升对中国传统文化的热爱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noWrap w:val="0"/>
            <w:vAlign w:val="center"/>
          </w:tcPr>
          <w:p>
            <w:pPr>
              <w:jc w:val="center"/>
            </w:pPr>
            <w:r>
              <w:rPr>
                <w:rFonts w:hint="eastAsia"/>
              </w:rPr>
              <w:t>教学资源</w:t>
            </w:r>
          </w:p>
        </w:tc>
        <w:tc>
          <w:tcPr>
            <w:tcW w:w="9009" w:type="dxa"/>
            <w:gridSpan w:val="9"/>
            <w:noWrap w:val="0"/>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noWrap w:val="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教学</w:t>
            </w:r>
          </w:p>
          <w:p>
            <w:pPr>
              <w:jc w:val="center"/>
            </w:pPr>
            <w:r>
              <w:rPr>
                <w:rFonts w:hint="eastAsia"/>
              </w:rPr>
              <w:t>环节</w:t>
            </w:r>
          </w:p>
        </w:tc>
        <w:tc>
          <w:tcPr>
            <w:tcW w:w="6477" w:type="dxa"/>
            <w:gridSpan w:val="4"/>
            <w:noWrap w:val="0"/>
            <w:vAlign w:val="center"/>
          </w:tcPr>
          <w:p>
            <w:pPr>
              <w:jc w:val="center"/>
            </w:pPr>
            <w:r>
              <w:rPr>
                <w:rFonts w:hint="eastAsia"/>
              </w:rPr>
              <w:t>教学内容</w:t>
            </w:r>
          </w:p>
        </w:tc>
        <w:tc>
          <w:tcPr>
            <w:tcW w:w="720" w:type="dxa"/>
            <w:noWrap w:val="0"/>
            <w:vAlign w:val="center"/>
          </w:tcPr>
          <w:p>
            <w:pPr>
              <w:jc w:val="center"/>
            </w:pPr>
            <w:r>
              <w:rPr>
                <w:rFonts w:hint="eastAsia"/>
              </w:rPr>
              <w:t>教师</w:t>
            </w:r>
          </w:p>
          <w:p>
            <w:pPr>
              <w:jc w:val="center"/>
            </w:pPr>
            <w:r>
              <w:rPr>
                <w:rFonts w:hint="eastAsia"/>
              </w:rPr>
              <w:t>活动</w:t>
            </w:r>
          </w:p>
        </w:tc>
        <w:tc>
          <w:tcPr>
            <w:tcW w:w="720" w:type="dxa"/>
            <w:gridSpan w:val="2"/>
            <w:noWrap w:val="0"/>
            <w:vAlign w:val="center"/>
          </w:tcPr>
          <w:p>
            <w:pPr>
              <w:jc w:val="center"/>
            </w:pPr>
            <w:r>
              <w:rPr>
                <w:rFonts w:hint="eastAsia"/>
              </w:rPr>
              <w:t>学生</w:t>
            </w:r>
          </w:p>
          <w:p>
            <w:pPr>
              <w:jc w:val="center"/>
            </w:pPr>
            <w:r>
              <w:rPr>
                <w:rFonts w:hint="eastAsia"/>
              </w:rPr>
              <w:t>活动</w:t>
            </w:r>
          </w:p>
        </w:tc>
        <w:tc>
          <w:tcPr>
            <w:tcW w:w="1092" w:type="dxa"/>
            <w:gridSpan w:val="2"/>
            <w:noWrap w:val="0"/>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noWrap w:val="0"/>
            <w:vAlign w:val="center"/>
          </w:tcPr>
          <w:p>
            <w:pPr>
              <w:jc w:val="center"/>
            </w:pPr>
            <w:r>
              <w:rPr>
                <w:rFonts w:hint="eastAsia"/>
              </w:rPr>
              <w:t>导入</w:t>
            </w:r>
          </w:p>
        </w:tc>
        <w:tc>
          <w:tcPr>
            <w:tcW w:w="6477" w:type="dxa"/>
            <w:gridSpan w:val="4"/>
            <w:noWrap w:val="0"/>
            <w:vAlign w:val="center"/>
          </w:tcPr>
          <w:p>
            <w:pPr>
              <w:rPr>
                <w:rFonts w:hint="eastAsia" w:ascii="宋体" w:hAnsi="宋体"/>
                <w:szCs w:val="21"/>
              </w:rPr>
            </w:pPr>
            <w:r>
              <w:rPr>
                <w:rFonts w:hint="eastAsia" w:ascii="宋体" w:hAnsi="宋体"/>
                <w:szCs w:val="21"/>
              </w:rPr>
              <w:t xml:space="preserve">如果从中国古典小说中找出一部能像“百科全书”一样充分表现封建社会历史、能被誉为“金字塔”式的作品，你会首选什么？ </w:t>
            </w:r>
          </w:p>
          <w:p>
            <w:pPr>
              <w:rPr>
                <w:rFonts w:hint="eastAsia" w:ascii="宋体" w:hAnsi="宋体"/>
                <w:szCs w:val="21"/>
              </w:rPr>
            </w:pPr>
            <w:r>
              <w:rPr>
                <w:rFonts w:hint="eastAsia" w:ascii="宋体" w:hAnsi="宋体"/>
                <w:szCs w:val="21"/>
              </w:rPr>
              <w:t>　　《红楼梦》。</w:t>
            </w:r>
          </w:p>
          <w:p>
            <w:pPr>
              <w:rPr>
                <w:rFonts w:hint="eastAsia" w:ascii="宋体" w:hAnsi="宋体"/>
                <w:szCs w:val="21"/>
              </w:rPr>
            </w:pPr>
            <w:r>
              <w:rPr>
                <w:rFonts w:hint="eastAsia" w:ascii="宋体" w:hAnsi="宋体"/>
                <w:szCs w:val="21"/>
              </w:rPr>
              <w:t>　　它的作者是谁？</w:t>
            </w:r>
          </w:p>
          <w:p>
            <w:pPr>
              <w:rPr>
                <w:rFonts w:hint="eastAsia" w:ascii="宋体" w:hAnsi="宋体"/>
                <w:szCs w:val="21"/>
              </w:rPr>
            </w:pPr>
            <w:r>
              <w:rPr>
                <w:rFonts w:hint="eastAsia" w:ascii="宋体" w:hAnsi="宋体"/>
                <w:szCs w:val="21"/>
              </w:rPr>
              <w:t xml:space="preserve">　  曹雪芹。 </w:t>
            </w:r>
          </w:p>
          <w:p>
            <w:pPr>
              <w:keepNext w:val="0"/>
              <w:keepLines w:val="0"/>
              <w:widowControl/>
              <w:suppressLineNumbers w:val="0"/>
              <w:shd w:val="clear" w:color="auto" w:fill="FFFFFF"/>
              <w:ind w:left="0" w:firstLine="0"/>
              <w:jc w:val="left"/>
            </w:pPr>
            <w:r>
              <w:rPr>
                <w:rFonts w:hint="eastAsia" w:ascii="宋体" w:hAnsi="宋体"/>
                <w:szCs w:val="21"/>
              </w:rPr>
              <w:t xml:space="preserve">　　你了解曹雪芹吗？你看过《红楼梦》吗？ </w:t>
            </w:r>
          </w:p>
        </w:tc>
        <w:tc>
          <w:tcPr>
            <w:tcW w:w="720" w:type="dxa"/>
            <w:noWrap w:val="0"/>
            <w:vAlign w:val="center"/>
          </w:tcPr>
          <w:p>
            <w:pPr>
              <w:jc w:val="center"/>
            </w:pPr>
          </w:p>
        </w:tc>
        <w:tc>
          <w:tcPr>
            <w:tcW w:w="720" w:type="dxa"/>
            <w:gridSpan w:val="2"/>
            <w:noWrap w:val="0"/>
            <w:vAlign w:val="center"/>
          </w:tcPr>
          <w:p>
            <w:pPr>
              <w:jc w:val="center"/>
            </w:pPr>
          </w:p>
        </w:tc>
        <w:tc>
          <w:tcPr>
            <w:tcW w:w="1092" w:type="dxa"/>
            <w:gridSpan w:val="2"/>
            <w:noWrap w:val="0"/>
            <w:vAlign w:val="center"/>
          </w:tcPr>
          <w:p>
            <w:pPr>
              <w:jc w:val="center"/>
              <w:rPr>
                <w:rFonts w:hint="eastAsia" w:eastAsia="宋体"/>
                <w:lang w:eastAsia="zh-CN"/>
              </w:rPr>
            </w:pPr>
            <w:r>
              <w:rPr>
                <w:rFonts w:hint="eastAsia"/>
                <w:lang w:eastAsia="zh-CN"/>
              </w:rPr>
              <w:t>情境导入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noWrap w:val="0"/>
            <w:vAlign w:val="center"/>
          </w:tcPr>
          <w:p>
            <w:pPr>
              <w:jc w:val="center"/>
            </w:pPr>
            <w:r>
              <w:rPr>
                <w:rFonts w:hint="eastAsia"/>
              </w:rPr>
              <w:t>新授</w:t>
            </w:r>
          </w:p>
        </w:tc>
        <w:tc>
          <w:tcPr>
            <w:tcW w:w="6477" w:type="dxa"/>
            <w:gridSpan w:val="4"/>
            <w:noWrap w:val="0"/>
            <w:vAlign w:val="top"/>
          </w:tcPr>
          <w:p>
            <w:pPr>
              <w:rPr>
                <w:rFonts w:hint="eastAsia" w:ascii="宋体" w:hAnsi="宋体"/>
                <w:b/>
                <w:szCs w:val="21"/>
              </w:rPr>
            </w:pPr>
            <w:r>
              <w:rPr>
                <w:rFonts w:hint="eastAsia" w:ascii="宋体" w:hAnsi="宋体"/>
                <w:b/>
                <w:szCs w:val="21"/>
              </w:rPr>
              <w:t>一、简介作者</w:t>
            </w:r>
          </w:p>
          <w:p>
            <w:pPr>
              <w:ind w:firstLine="420" w:firstLineChars="200"/>
              <w:rPr>
                <w:rFonts w:hint="eastAsia" w:ascii="宋体" w:hAnsi="宋体"/>
                <w:szCs w:val="21"/>
              </w:rPr>
            </w:pPr>
            <w:r>
              <w:rPr>
                <w:rFonts w:hint="eastAsia" w:ascii="宋体" w:hAnsi="宋体"/>
                <w:szCs w:val="21"/>
              </w:rPr>
              <w:t xml:space="preserve">曹雪芹，名霑，字梦阮，号雪芹。他祖先原是汉人，但很早成了正白旗内务府的“包衣”(满语奴隶之意)，入了满籍。从他曾祖曹玺开始，三代世龚江宁织造的官职。祖父曹寅做过康熙的“侍读”，两个女儿都被入选为王妃。康熙皇帝六次巡南就有四次以江宁织造署为行宫。由此可见曹家的显赫以及与皇室的密切关系。曹家是非常显赫的贵族世家。雍正即位后，曹雪芹的父亲因与皇家派别斗争有牵连，以及在江宁织造任期内财款亏空等原因，被罢官，抄家，家道从此衰落。作者的一生恰好经历了曹家由盛而衰的过程，由“锦衣纨裤”的贵公子，降为落魄的“寒士”。当他著书时，已过着“蓬牖茅椽，绳床瓦灶”和“举家食粥酒常赊”的贫困生活。这种天壤之别的生活变化，促使他对过去的经历作一番深刻而痛苦的回忆。这就为他能对社会上种种黑暗抱有不满和批判的态度，写出反映封建统治阶级、封建制度没落衰败的《红楼梦》，准备了良好基础。《红楼梦》是我国18世纪中期出现的一部古典小说。它高度的艺术性，在我国及世界文学发展史上占有重要地位。    </w:t>
            </w:r>
          </w:p>
          <w:p>
            <w:pPr>
              <w:rPr>
                <w:rFonts w:hint="eastAsia" w:ascii="宋体" w:hAnsi="宋体"/>
                <w:b/>
                <w:szCs w:val="21"/>
              </w:rPr>
            </w:pPr>
            <w:r>
              <w:rPr>
                <w:rFonts w:hint="eastAsia" w:ascii="宋体" w:hAnsi="宋体"/>
                <w:b/>
                <w:szCs w:val="21"/>
              </w:rPr>
              <w:t>二、简介《红楼梦》</w:t>
            </w:r>
          </w:p>
          <w:p>
            <w:pPr>
              <w:ind w:firstLine="420" w:firstLineChars="200"/>
              <w:rPr>
                <w:rFonts w:hint="eastAsia" w:ascii="宋体" w:hAnsi="宋体"/>
                <w:szCs w:val="21"/>
              </w:rPr>
            </w:pPr>
            <w:r>
              <w:rPr>
                <w:rFonts w:hint="eastAsia" w:ascii="宋体" w:hAnsi="宋体"/>
                <w:szCs w:val="21"/>
              </w:rPr>
              <w:t>《红楼梦》原名《石头记》，是我国古代小说中最杰出的现实主义作品。它产生于清代所谓“河清海晏”的“乾隆盛世”。当时随着经济的恢复和发展，资本主义的因素也有了增长。这股新的力量与严重束缚它的封建主义体系不可避免地产生冲突。这种冲突反映在上层建筑领域便是处于萌芽状态却蓬勃而有朝气的初步的民主主义思想与腐朽的趋向最后崩溃的但又居于统治地位的封建宗法思想、传统制度之间的矛盾斗争。在这样的时代，《红楼梦》以贾、史、王、薛四大家族的兴衰为背景，以贾宝玉和林黛玉的爱情悲剧为主线，真实而艺术地反映了我国封建社会走向衰亡的历史趋势。曹雪芹写作《红楼梦》的具体年月已无从知晓，我们只能根据第一回中知道他“于悼红轩中披阅十载，增删五次”。据专家考证，《红楼梦》共110回，前80回在曹雪芹去世前10年左右就已经传抄问世，后30回作者已基本上完成，只是由于某种原因未能传抄于世，后来终于失落，这是不可挽回的损失。到了18世纪末，高鹗续写了后40回，补成了现行的120回本。</w:t>
            </w:r>
          </w:p>
          <w:p>
            <w:pPr>
              <w:ind w:firstLine="420" w:firstLineChars="200"/>
              <w:rPr>
                <w:rFonts w:hint="eastAsia" w:ascii="宋体" w:hAnsi="宋体"/>
                <w:szCs w:val="21"/>
              </w:rPr>
            </w:pPr>
            <w:r>
              <w:rPr>
                <w:rFonts w:hint="eastAsia" w:ascii="宋体" w:hAnsi="宋体"/>
                <w:szCs w:val="21"/>
              </w:rPr>
              <w:t>《红楼梦》前五回的内容和课文内容。</w:t>
            </w:r>
          </w:p>
          <w:p>
            <w:pPr>
              <w:ind w:firstLine="420" w:firstLineChars="200"/>
              <w:rPr>
                <w:rFonts w:hint="eastAsia" w:ascii="宋体" w:hAnsi="宋体"/>
                <w:szCs w:val="21"/>
              </w:rPr>
            </w:pPr>
            <w:r>
              <w:rPr>
                <w:rFonts w:hint="eastAsia" w:ascii="宋体" w:hAnsi="宋体"/>
                <w:szCs w:val="21"/>
              </w:rPr>
              <w:t>本文选自《红楼梦》第三回，是全书序幕的一个组成部分。标题点出了中心事件，题眼是“贾府”──全书的典型环境。《红楼梦》前五回的内容和在小说中的作用：《红楼梦》的序幕由前三回构成，分别从各个不同的角度，为全书情节的开展作了必要的交代。它们之间既有联系，又各有侧重。</w:t>
            </w:r>
          </w:p>
          <w:p>
            <w:pPr>
              <w:ind w:firstLine="420" w:firstLineChars="200"/>
              <w:rPr>
                <w:rFonts w:hint="eastAsia" w:ascii="宋体" w:hAnsi="宋体"/>
                <w:szCs w:val="21"/>
              </w:rPr>
            </w:pPr>
            <w:r>
              <w:rPr>
                <w:rFonts w:hint="eastAsia" w:ascii="宋体" w:hAnsi="宋体"/>
                <w:szCs w:val="21"/>
              </w:rPr>
              <w:t>第一回，开篇，用“女娲补天”“木石前盟”两个神话故事作楔子，为塑造贾宝玉和林黛玉的恋爱故事，染上一层浪漫主义色彩。</w:t>
            </w:r>
          </w:p>
          <w:p>
            <w:pPr>
              <w:ind w:firstLine="420" w:firstLineChars="200"/>
              <w:rPr>
                <w:rFonts w:hint="eastAsia" w:ascii="宋体" w:hAnsi="宋体"/>
                <w:szCs w:val="21"/>
              </w:rPr>
            </w:pPr>
            <w:r>
              <w:rPr>
                <w:rFonts w:hint="eastAsia" w:ascii="宋体" w:hAnsi="宋体"/>
                <w:szCs w:val="21"/>
              </w:rPr>
              <w:t>“女娲补天”:作者描写一块“无材补天，幻形入世”的顽石，这便是随宝玉一起降生，又为宝玉随身佩带的“通灵宝玉”，它对贾宝玉的叛逆性格有隐喻的作用:一方面暗示他无“补天”之材，是个不符合封建社会要求的“蠢物”，另一方面暗示他与封建主义相对立的思想性格，具有像从天而降的顽石一样的“顽劣”性，难以为世俗改变。</w:t>
            </w:r>
          </w:p>
          <w:p>
            <w:pPr>
              <w:ind w:firstLine="420" w:firstLineChars="200"/>
              <w:rPr>
                <w:rFonts w:hint="eastAsia" w:ascii="宋体" w:hAnsi="宋体"/>
                <w:szCs w:val="21"/>
              </w:rPr>
            </w:pPr>
            <w:r>
              <w:rPr>
                <w:rFonts w:hint="eastAsia" w:ascii="宋体" w:hAnsi="宋体"/>
                <w:szCs w:val="21"/>
              </w:rPr>
              <w:t>“木石前盟”交代这块顽石与绛珠仙草的关系。这顽石投胎入世之前，曾变为神瑛侍者以甘露灌溉了一棵“绛珠仙草”，使其得以久延岁月，脱去草木之态，幻化人形，修成女体。所以顽石下凡，她为报灌溉之恩，也同走一遭，把一生的眼泪还他。这绛珠仙草就是林黛玉的前身。正因为这一段姻缘，他们初见时，林黛玉有“好生奇怪，倒像在那里见过一般”的感觉，贾宝玉也觉得“这个妹妹我曾见过的”“看着面善，心里就算是旧相识，今日只作远别重逢”。</w:t>
            </w:r>
          </w:p>
          <w:p>
            <w:pPr>
              <w:ind w:firstLine="420" w:firstLineChars="200"/>
              <w:rPr>
                <w:rFonts w:hint="eastAsia" w:ascii="宋体" w:hAnsi="宋体"/>
                <w:szCs w:val="21"/>
              </w:rPr>
            </w:pPr>
            <w:r>
              <w:rPr>
                <w:rFonts w:hint="eastAsia" w:ascii="宋体" w:hAnsi="宋体"/>
                <w:szCs w:val="21"/>
              </w:rPr>
              <w:t>第二回，交代贾府人物。通过“冷子兴演说荣国府”，简要介绍了贾府中的人物关系。</w:t>
            </w:r>
          </w:p>
          <w:p>
            <w:pPr>
              <w:ind w:firstLine="420" w:firstLineChars="200"/>
              <w:rPr>
                <w:rFonts w:hint="eastAsia" w:ascii="宋体" w:hAnsi="宋体"/>
                <w:szCs w:val="21"/>
              </w:rPr>
            </w:pPr>
            <w:r>
              <w:rPr>
                <w:rFonts w:hint="eastAsia" w:ascii="宋体" w:hAnsi="宋体"/>
                <w:szCs w:val="21"/>
              </w:rPr>
              <w:t>第三回，介绍小说的典型环境──通过林黛玉耳闻目睹对贾府做了第一次直接描写。课题“林黛玉进贾府”是编者根据节选内容拟的。林黛玉因何进贾府？原来贾府的老祖宗贾母有两个儿子名贾赦、贾政，一个女儿名贾敏。贾敏嫁林如海，只有一个独生女便是林黛玉。林黛玉母亲因病去世，外祖母念及黛玉年幼无人照顾便派人把黛玉接进贾府。作者把此事安排在第三回，也就是全书的序幕部分，显然是借黛玉进贾府来描写小说的典型环境，让贾府中一些重要人物登场亮相，并为主人公林黛玉和贾宝玉第一次见面作了安排。林黛玉进府的行踪,是这一回介绍贾府人物，描写贾府环境的线索。</w:t>
            </w:r>
          </w:p>
          <w:p>
            <w:pPr>
              <w:ind w:firstLine="420" w:firstLineChars="200"/>
              <w:rPr>
                <w:rFonts w:hint="eastAsia" w:ascii="宋体" w:hAnsi="宋体"/>
                <w:szCs w:val="21"/>
              </w:rPr>
            </w:pPr>
            <w:r>
              <w:rPr>
                <w:rFonts w:hint="eastAsia" w:ascii="宋体" w:hAnsi="宋体"/>
                <w:szCs w:val="21"/>
              </w:rPr>
              <w:t>第四回，展现小说更广阔的社会背景。通过“葫芦僧判断葫芦案”介绍了贾、史、王、薛四大家族的关系。由薛蟠案件带出宝钗进贾府的情节。</w:t>
            </w:r>
          </w:p>
          <w:p>
            <w:pPr>
              <w:keepNext w:val="0"/>
              <w:keepLines w:val="0"/>
              <w:widowControl/>
              <w:suppressLineNumbers w:val="0"/>
              <w:shd w:val="clear" w:color="auto" w:fill="FFFFFF"/>
              <w:ind w:left="0" w:firstLine="0"/>
              <w:jc w:val="left"/>
              <w:rPr>
                <w:rFonts w:ascii="宋体" w:hAnsi="宋体"/>
                <w:szCs w:val="21"/>
              </w:rPr>
            </w:pPr>
            <w:r>
              <w:rPr>
                <w:rFonts w:hint="eastAsia" w:ascii="宋体" w:hAnsi="宋体"/>
                <w:szCs w:val="21"/>
              </w:rPr>
              <w:t>第五回，全书总纲。通过贾宝玉梦游太虚幻境，利用画册、判词及歌曲的形式，隐喻含蓄地将《红楼梦》众多主要人物和次要人物的发展和结局交代出来。《红楼梦》只流传下80回，遗失了结尾。因此，对《红楼梦》中人物的命运，基本上是依据这些隐喻揣摩出来的。《红楼梦》的后四十回为清人高鹗所续。研究者一般认为高鹗在贾宝玉和林黛玉的爱情故事上以悲剧结束，还是遵循曹雪芹原旨的，但写贾府的结局为“兰桂齐芳”，家道复初，却违背了曹雪芹的原意。</w:t>
            </w:r>
          </w:p>
        </w:tc>
        <w:tc>
          <w:tcPr>
            <w:tcW w:w="720" w:type="dxa"/>
            <w:noWrap w:val="0"/>
            <w:vAlign w:val="center"/>
          </w:tcPr>
          <w:p>
            <w:pPr>
              <w:jc w:val="center"/>
            </w:pPr>
            <w:r>
              <w:rPr>
                <w:rFonts w:hint="eastAsia"/>
              </w:rPr>
              <w:t>点拨</w:t>
            </w:r>
          </w:p>
        </w:tc>
        <w:tc>
          <w:tcPr>
            <w:tcW w:w="720" w:type="dxa"/>
            <w:gridSpan w:val="2"/>
            <w:noWrap w:val="0"/>
            <w:vAlign w:val="center"/>
          </w:tcPr>
          <w:p>
            <w:pPr>
              <w:jc w:val="center"/>
            </w:pPr>
            <w:r>
              <w:rPr>
                <w:rFonts w:hint="eastAsia"/>
              </w:rPr>
              <w:t>了解</w:t>
            </w:r>
          </w:p>
        </w:tc>
        <w:tc>
          <w:tcPr>
            <w:tcW w:w="1092" w:type="dxa"/>
            <w:gridSpan w:val="2"/>
            <w:noWrap w:val="0"/>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noWrap w:val="0"/>
            <w:vAlign w:val="center"/>
          </w:tcPr>
          <w:p>
            <w:pPr>
              <w:jc w:val="center"/>
            </w:pPr>
            <w:r>
              <w:rPr>
                <w:rFonts w:hint="eastAsia"/>
              </w:rPr>
              <w:t>总结</w:t>
            </w:r>
          </w:p>
        </w:tc>
        <w:tc>
          <w:tcPr>
            <w:tcW w:w="9009" w:type="dxa"/>
            <w:gridSpan w:val="9"/>
            <w:noWrap w:val="0"/>
            <w:vAlign w:val="center"/>
          </w:tcPr>
          <w:p>
            <w:pPr>
              <w:keepNext w:val="0"/>
              <w:keepLines w:val="0"/>
              <w:widowControl/>
              <w:suppressLineNumbers w:val="0"/>
              <w:shd w:val="clear" w:color="auto" w:fill="FFFFFF"/>
              <w:ind w:left="0" w:firstLine="0"/>
              <w:jc w:val="left"/>
              <w:rPr>
                <w:rFonts w:cs="Arial"/>
                <w:bCs/>
                <w:sz w:val="21"/>
                <w:szCs w:val="21"/>
              </w:rPr>
            </w:pPr>
            <w:r>
              <w:rPr>
                <w:rFonts w:hint="eastAsia" w:ascii="宋体" w:hAnsi="宋体"/>
                <w:szCs w:val="21"/>
              </w:rPr>
              <w:t>作者借黛玉进贾府来描写小说的典型环境，让贾府中一些重要人物登场亮相，并为主人公林黛玉和贾宝玉第一次见面作了安排。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noWrap w:val="0"/>
            <w:vAlign w:val="center"/>
          </w:tcPr>
          <w:p>
            <w:pPr>
              <w:jc w:val="center"/>
            </w:pPr>
            <w:r>
              <w:rPr>
                <w:rFonts w:hint="eastAsia"/>
              </w:rPr>
              <w:t>作业</w:t>
            </w:r>
          </w:p>
        </w:tc>
        <w:tc>
          <w:tcPr>
            <w:tcW w:w="9009" w:type="dxa"/>
            <w:gridSpan w:val="9"/>
            <w:noWrap w:val="0"/>
            <w:vAlign w:val="center"/>
          </w:tcPr>
          <w:p>
            <w:pPr>
              <w:rPr>
                <w:rFonts w:hint="eastAsia" w:ascii="宋体" w:hAnsi="宋体"/>
                <w:szCs w:val="21"/>
              </w:rPr>
            </w:pPr>
            <w:r>
              <w:rPr>
                <w:rFonts w:hint="eastAsia" w:ascii="宋体" w:hAnsi="宋体"/>
                <w:szCs w:val="21"/>
              </w:rPr>
              <w:t>课外作业：</w:t>
            </w:r>
          </w:p>
          <w:p>
            <w:pPr>
              <w:rPr>
                <w:rFonts w:hint="eastAsia" w:ascii="宋体" w:hAnsi="宋体"/>
                <w:szCs w:val="21"/>
              </w:rPr>
            </w:pPr>
            <w:r>
              <w:rPr>
                <w:rFonts w:hint="eastAsia" w:ascii="宋体" w:hAnsi="宋体"/>
                <w:szCs w:val="21"/>
              </w:rPr>
              <w:t>1.熟读有关描写林黛玉、贾宝玉、王熙凤的段落。</w:t>
            </w:r>
          </w:p>
          <w:p>
            <w:pPr>
              <w:keepNext w:val="0"/>
              <w:keepLines w:val="0"/>
              <w:widowControl/>
              <w:suppressLineNumbers w:val="0"/>
              <w:shd w:val="clear" w:color="auto" w:fill="FFFFFF"/>
              <w:ind w:left="0" w:firstLine="0"/>
              <w:jc w:val="left"/>
            </w:pPr>
            <w:r>
              <w:rPr>
                <w:rFonts w:hint="eastAsia" w:ascii="宋体" w:hAnsi="宋体"/>
                <w:szCs w:val="21"/>
              </w:rPr>
              <w:t>2.思考贾母、王熙凤、贾宝玉各不相同的出场。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noWrap w:val="0"/>
            <w:vAlign w:val="center"/>
          </w:tcPr>
          <w:p>
            <w:pPr>
              <w:jc w:val="center"/>
            </w:pPr>
            <w:r>
              <w:rPr>
                <w:rFonts w:hint="eastAsia"/>
              </w:rPr>
              <w:t>板书</w:t>
            </w:r>
          </w:p>
          <w:p>
            <w:pPr>
              <w:jc w:val="center"/>
            </w:pPr>
            <w:r>
              <w:rPr>
                <w:rFonts w:hint="eastAsia"/>
              </w:rPr>
              <w:t>设计</w:t>
            </w:r>
          </w:p>
        </w:tc>
        <w:tc>
          <w:tcPr>
            <w:tcW w:w="9009" w:type="dxa"/>
            <w:gridSpan w:val="9"/>
            <w:noWrap w:val="0"/>
            <w:vAlign w:val="top"/>
          </w:tcPr>
          <w:p>
            <w:pPr>
              <w:jc w:val="center"/>
              <w:rPr>
                <w:rFonts w:hint="eastAsia" w:ascii="宋体" w:hAnsi="宋体"/>
                <w:b/>
                <w:szCs w:val="21"/>
              </w:rPr>
            </w:pPr>
            <w:r>
              <w:rPr>
                <w:rFonts w:cs="Arial"/>
                <w:bCs/>
                <w:sz w:val="21"/>
                <w:szCs w:val="21"/>
              </w:rPr>
              <w:t xml:space="preserve">       </w:t>
            </w:r>
            <w:r>
              <w:rPr>
                <w:rFonts w:hint="eastAsia" w:ascii="宋体" w:hAnsi="宋体"/>
                <w:b/>
                <w:szCs w:val="21"/>
              </w:rPr>
              <w:t>二十三、林黛玉进贾府</w:t>
            </w:r>
          </w:p>
          <w:p>
            <w:pPr>
              <w:jc w:val="center"/>
              <w:rPr>
                <w:rFonts w:hint="eastAsia" w:ascii="宋体" w:hAnsi="宋体"/>
                <w:szCs w:val="21"/>
              </w:rPr>
            </w:pPr>
            <w:r>
              <w:rPr>
                <w:rFonts w:hint="eastAsia" w:ascii="宋体" w:hAnsi="宋体"/>
                <w:szCs w:val="21"/>
              </w:rPr>
              <w:t>曹雪芹</w:t>
            </w:r>
          </w:p>
          <w:p>
            <w:pPr>
              <w:rPr>
                <w:rFonts w:hint="eastAsia" w:ascii="宋体" w:hAnsi="宋体"/>
                <w:b/>
                <w:szCs w:val="21"/>
              </w:rPr>
            </w:pPr>
            <w:r>
              <w:rPr>
                <w:rFonts w:hint="eastAsia" w:ascii="宋体" w:hAnsi="宋体"/>
                <w:b/>
                <w:szCs w:val="21"/>
              </w:rPr>
              <w:t>简介《红楼梦》</w:t>
            </w:r>
          </w:p>
          <w:p>
            <w:pPr>
              <w:pStyle w:val="2"/>
              <w:spacing w:line="360" w:lineRule="auto"/>
              <w:rPr>
                <w:rFonts w:cs="Arial"/>
                <w:bCs/>
                <w:sz w:val="21"/>
                <w:szCs w:val="21"/>
              </w:rPr>
            </w:pPr>
            <w:r>
              <w:rPr>
                <w:rFonts w:hint="eastAsia" w:ascii="宋体" w:hAnsi="宋体"/>
                <w:szCs w:val="21"/>
              </w:rPr>
              <w:t>《红楼梦》原名《石头记》，是我国古代小说中最杰出的现实主义作品。它产生于清代所谓“河清海晏”的“乾隆盛世”。《红楼梦》以贾、史、王、薛四大家族的兴衰为背景，以贾宝玉和林黛玉的爱情悲剧为主线，真实而艺术地反映了我国封建社会走向衰亡的历史趋势。《红楼梦》共120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noWrap w:val="0"/>
            <w:vAlign w:val="center"/>
          </w:tcPr>
          <w:p>
            <w:pPr>
              <w:jc w:val="center"/>
            </w:pPr>
            <w:r>
              <w:rPr>
                <w:rFonts w:hint="eastAsia"/>
              </w:rPr>
              <w:t>教学</w:t>
            </w:r>
          </w:p>
          <w:p>
            <w:pPr>
              <w:jc w:val="center"/>
            </w:pPr>
            <w:r>
              <w:rPr>
                <w:rFonts w:hint="eastAsia"/>
              </w:rPr>
              <w:t>后记</w:t>
            </w:r>
          </w:p>
        </w:tc>
        <w:tc>
          <w:tcPr>
            <w:tcW w:w="9009" w:type="dxa"/>
            <w:gridSpan w:val="9"/>
            <w:noWrap w:val="0"/>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46430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2023-10-08T01:34:22Z</dcterms:created>
  <dc:creator>Administrator</dc:creator>
  <cp:lastModifiedBy>匆匆那年</cp:lastModifiedBy>
  <dcterms:modified xsi:type="dcterms:W3CDTF">2023-10-08T01:34:29Z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6C70E385C5A843F1A580212357481A7D_12</vt:lpwstr>
  </property>
</Properties>
</file>