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汽车车架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了解车架的功用、组成、类型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车架的构造、结构特点及检修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630" w:firstLineChars="300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车架的构造以及结构特点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2"/>
              <w:spacing w:line="360" w:lineRule="auto"/>
              <w:ind w:firstLine="72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通过PPT展示车架构造展示引入课题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一、车架的作用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汽车车架俗称大梁，它是跨接在前后车桥上的桥梁式结构，是整个汽车的基础，其上装有发动机、变速器、传动轴、前后桥和车身等总成和部件。 车架的作用是使各总成固定在它的上面，使之保持正确的相对位置，并承受和传递力和力矩。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汽车静止时，车架承受着垂直载荷。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汽车行使时，车架会受到比静止载荷大3～4倍或更大的弯曲应力，若路面不平，还将受到扭矩的作用。因此，要求车架强度高、刚度合适；结构简单、质量轻，同时应尽可能降低汽车的重心和获得较大的前轮转向角，以保证汽车行使的稳定性和转向的灵活性。</w:t>
            </w:r>
          </w:p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二、车架的型式和构造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1.边梁式车架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2.中梁式车架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3.综台式车架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4.无梁式车架</w:t>
            </w:r>
          </w:p>
          <w:p>
            <w:pPr>
              <w:ind w:firstLine="60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三、车架的检修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 车架的检测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（1）用车体矫正机检测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最先进最科学的检测方法是用车体矫正机对车架进行检测。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 车架的修理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（1）车架变形的修理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（2）车架裂纹的修理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（3）车架的重铆</w:t>
            </w:r>
          </w:p>
          <w:p>
            <w:pPr>
              <w:ind w:firstLine="6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（4）车架附件的修理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ind w:firstLine="420" w:firstLineChars="200"/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总结车架的作用、构造和检修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汽车车架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车架的作用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车架的型式和构造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车架的检修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48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F613EB44ABB444C08EBDE128B9B390AD_12</vt:lpwstr>
  </property>
</Properties>
</file>