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11</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rPr>
                <w:rStyle w:val="9"/>
                <w:rFonts w:ascii="Times New Roman" w:hAnsi="Times New Roman" w:cs="Times New Roman"/>
                <w:b w:val="0"/>
                <w:bCs/>
                <w:color w:val="000000" w:themeColor="text1"/>
                <w:sz w:val="21"/>
                <w:szCs w:val="21"/>
                <w14:textFill>
                  <w14:solidFill>
                    <w14:schemeClr w14:val="tx1"/>
                  </w14:solidFill>
                </w14:textFill>
              </w:rPr>
            </w:pPr>
            <w:r>
              <w:rPr>
                <w:rStyle w:val="9"/>
                <w:rFonts w:ascii="Times New Roman" w:hAnsi="Times New Roman" w:cs="Times New Roman"/>
                <w:b w:val="0"/>
                <w:bCs/>
                <w:color w:val="000000" w:themeColor="text1"/>
                <w:sz w:val="21"/>
                <w:szCs w:val="21"/>
                <w14:textFill>
                  <w14:solidFill>
                    <w14:schemeClr w14:val="tx1"/>
                  </w14:solidFill>
                </w14:textFill>
              </w:rPr>
              <w:t>Unit 3 Shopping</w:t>
            </w:r>
          </w:p>
          <w:p>
            <w:pPr>
              <w:spacing w:line="360" w:lineRule="exact"/>
              <w:jc w:val="center"/>
              <w:rPr>
                <w:rFonts w:ascii="宋体" w:hAnsi="宋体"/>
                <w:b/>
                <w:sz w:val="24"/>
              </w:rPr>
            </w:pPr>
            <w:r>
              <w:rPr>
                <w:rFonts w:ascii="Times New Roman" w:hAnsi="Times New Roman" w:cs="Times New Roman"/>
                <w:b w:val="0"/>
                <w:bCs/>
                <w:color w:val="000000" w:themeColor="text1"/>
                <w:sz w:val="21"/>
                <w:szCs w:val="21"/>
                <w14:textFill>
                  <w14:solidFill>
                    <w14:schemeClr w14:val="tx1"/>
                  </w14:solidFill>
                </w14:textFill>
              </w:rPr>
              <w:t>Language Practice</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ind w:firstLine="420" w:firstLineChars="200"/>
              <w:rPr>
                <w:rFonts w:ascii="Times New Roman" w:hAnsi="Times New Roman" w:cs="Times New Roman"/>
                <w:szCs w:val="21"/>
              </w:rPr>
            </w:pPr>
            <w:r>
              <w:rPr>
                <w:rFonts w:ascii="Times New Roman" w:hAnsi="Times New Roman" w:cs="Times New Roman"/>
                <w:szCs w:val="21"/>
              </w:rPr>
              <w:t>1. 掌握形容词和副词的比较级与最高级的基本结构及变化规则；</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 能在具体语境中准确运用比较级与最高级；</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 能在具体语境中准确使用重点词汇，如：bestselling</w:t>
            </w:r>
            <w:r>
              <w:rPr>
                <w:rFonts w:hint="eastAsia" w:ascii="Times New Roman" w:hAnsi="Times New Roman" w:cs="Times New Roman"/>
                <w:szCs w:val="21"/>
              </w:rPr>
              <w:t>、</w:t>
            </w:r>
            <w:r>
              <w:rPr>
                <w:rFonts w:ascii="Times New Roman" w:hAnsi="Times New Roman" w:cs="Times New Roman"/>
                <w:szCs w:val="21"/>
              </w:rPr>
              <w:t>original</w:t>
            </w:r>
            <w:r>
              <w:rPr>
                <w:rFonts w:hint="eastAsia" w:ascii="Times New Roman" w:hAnsi="Times New Roman" w:cs="Times New Roman"/>
                <w:szCs w:val="21"/>
              </w:rPr>
              <w:t>、</w:t>
            </w:r>
            <w:r>
              <w:rPr>
                <w:rFonts w:ascii="Times New Roman" w:hAnsi="Times New Roman" w:cs="Times New Roman"/>
                <w:szCs w:val="21"/>
              </w:rPr>
              <w:t>online</w:t>
            </w:r>
            <w:r>
              <w:rPr>
                <w:rFonts w:hint="eastAsia" w:ascii="Times New Roman" w:hAnsi="Times New Roman" w:cs="Times New Roman"/>
                <w:szCs w:val="21"/>
              </w:rPr>
              <w:t>、</w:t>
            </w:r>
            <w:r>
              <w:rPr>
                <w:rFonts w:ascii="Times New Roman" w:hAnsi="Times New Roman" w:cs="Times New Roman"/>
                <w:szCs w:val="21"/>
              </w:rPr>
              <w:t>add</w:t>
            </w:r>
            <w:r>
              <w:rPr>
                <w:rFonts w:hint="eastAsia" w:ascii="Times New Roman" w:hAnsi="Times New Roman" w:cs="Times New Roman"/>
                <w:szCs w:val="21"/>
              </w:rPr>
              <w:t>、</w:t>
            </w:r>
            <w:r>
              <w:rPr>
                <w:rFonts w:ascii="Times New Roman" w:hAnsi="Times New Roman" w:cs="Times New Roman"/>
                <w:szCs w:val="21"/>
              </w:rPr>
              <w:t>pay</w:t>
            </w:r>
            <w:r>
              <w:rPr>
                <w:rFonts w:hint="eastAsia" w:ascii="Times New Roman" w:hAnsi="Times New Roman" w:cs="Times New Roman"/>
                <w:szCs w:val="21"/>
              </w:rPr>
              <w:t>、</w:t>
            </w:r>
            <w:r>
              <w:rPr>
                <w:rFonts w:ascii="Times New Roman" w:hAnsi="Times New Roman" w:cs="Times New Roman"/>
                <w:szCs w:val="21"/>
              </w:rPr>
              <w:t>offer</w:t>
            </w:r>
            <w:r>
              <w:rPr>
                <w:rFonts w:hint="eastAsia" w:ascii="Times New Roman" w:hAnsi="Times New Roman" w:cs="Times New Roman"/>
                <w:szCs w:val="21"/>
              </w:rPr>
              <w:t>、</w:t>
            </w:r>
            <w:r>
              <w:rPr>
                <w:rFonts w:ascii="Times New Roman" w:hAnsi="Times New Roman" w:cs="Times New Roman"/>
                <w:szCs w:val="21"/>
              </w:rPr>
              <w:t>fit</w:t>
            </w:r>
            <w:r>
              <w:rPr>
                <w:rFonts w:hint="eastAsia" w:ascii="Times New Roman" w:hAnsi="Times New Roman" w:cs="Times New Roman"/>
                <w:szCs w:val="21"/>
              </w:rPr>
              <w:t>等；</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 xml:space="preserve">4. </w:t>
            </w:r>
            <w:r>
              <w:rPr>
                <w:rFonts w:hint="eastAsia" w:ascii="Times New Roman" w:hAnsi="Times New Roman" w:cs="Times New Roman"/>
                <w:szCs w:val="21"/>
              </w:rPr>
              <w:t>通过语法知识和词汇的学习与实际运用，学生能养成良好的学习习惯，提高语用能力。</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pacing w:line="360" w:lineRule="exact"/>
              <w:ind w:firstLine="420" w:firstLineChars="200"/>
              <w:rPr>
                <w:rFonts w:ascii="Times New Roman" w:hAnsi="Times New Roman" w:cs="Times New Roman"/>
                <w:szCs w:val="21"/>
              </w:rPr>
            </w:pPr>
            <w:r>
              <w:rPr>
                <w:rFonts w:ascii="Times New Roman" w:hAnsi="Times New Roman" w:cs="Times New Roman"/>
                <w:szCs w:val="21"/>
              </w:rPr>
              <w:t>掌握比较级与最高级的基本用法，并对其进行实际运用。</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 xml:space="preserve">          1. 比较级与最高级的基本结构</w:t>
            </w:r>
          </w:p>
          <w:p>
            <w:pPr>
              <w:spacing w:line="360" w:lineRule="exact"/>
              <w:ind w:firstLine="420" w:firstLineChars="200"/>
              <w:rPr>
                <w:rFonts w:cs="Arial"/>
                <w:sz w:val="21"/>
                <w:szCs w:val="21"/>
              </w:rPr>
            </w:pPr>
            <w:r>
              <w:rPr>
                <w:rFonts w:ascii="Times New Roman" w:hAnsi="Times New Roman" w:cs="Times New Roman"/>
                <w:szCs w:val="21"/>
              </w:rPr>
              <w:t xml:space="preserve">          2. 比较级与最高级的变化规则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spacing w:line="360" w:lineRule="exact"/>
              <w:ind w:firstLine="420" w:firstLineChars="200"/>
              <w:rPr>
                <w:rFonts w:cs="Arial"/>
                <w:sz w:val="21"/>
                <w:szCs w:val="21"/>
              </w:rPr>
            </w:pPr>
            <w:r>
              <w:rPr>
                <w:rFonts w:ascii="Times New Roman" w:hAnsi="Times New Roman" w:cs="Times New Roman"/>
                <w:szCs w:val="21"/>
              </w:rPr>
              <w:t>能在具体语境中准确运用比较级与最高级。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ind w:firstLine="210" w:firstLineChars="100"/>
              <w:rPr>
                <w:rFonts w:hint="eastAsia" w:ascii="Calibri" w:hAnsi="Calibri" w:eastAsia="宋体" w:cs="宋体"/>
                <w:kern w:val="2"/>
                <w:sz w:val="21"/>
                <w:szCs w:val="24"/>
                <w:lang w:val="en-US" w:eastAsia="zh-CN" w:bidi="ar-SA"/>
              </w:rPr>
            </w:pPr>
            <w:r>
              <w:rPr>
                <w:rFonts w:hint="eastAsia" w:ascii="Times New Roman" w:hAnsi="Times New Roman" w:cs="Times New Roman"/>
                <w:szCs w:val="21"/>
              </w:rPr>
              <w:t>学生能养成良好的学习习惯，提高语用能力</w:t>
            </w:r>
            <w:r>
              <w:rPr>
                <w:rFonts w:hint="eastAsia" w:ascii="Times New Roman" w:hAnsi="Times New Roman"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ind w:firstLine="210" w:firstLineChars="100"/>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 xml:space="preserve">Step 1 Warming </w:t>
            </w:r>
            <w:r>
              <w:rPr>
                <w:rFonts w:hint="eastAsia" w:ascii="Times New Roman" w:hAnsi="Times New Roman" w:cs="Times New Roman"/>
                <w:b/>
                <w:color w:val="000000" w:themeColor="text1"/>
                <w:szCs w:val="21"/>
                <w14:textFill>
                  <w14:solidFill>
                    <w14:schemeClr w14:val="tx1"/>
                  </w14:solidFill>
                </w14:textFill>
              </w:rPr>
              <w:t>U</w:t>
            </w:r>
            <w:r>
              <w:rPr>
                <w:rFonts w:ascii="Times New Roman" w:hAnsi="Times New Roman" w:cs="Times New Roman"/>
                <w:b/>
                <w:color w:val="000000" w:themeColor="text1"/>
                <w:szCs w:val="21"/>
                <w14:textFill>
                  <w14:solidFill>
                    <w14:schemeClr w14:val="tx1"/>
                  </w14:solidFill>
                </w14:textFill>
              </w:rPr>
              <w:t>p</w:t>
            </w:r>
          </w:p>
          <w:p>
            <w:pPr>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头脑风暴：学生回忆比较级和最高级的相关知识，教师将相关重点板书。</w:t>
            </w:r>
          </w:p>
          <w:p>
            <w:pPr>
              <w:spacing w:line="360" w:lineRule="exact"/>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（设计意图：学生列举比较级和最高级的相关知识，为下一步系统化这些碎片知识做准备。）</w:t>
            </w:r>
          </w:p>
          <w:p>
            <w:pPr>
              <w:spacing w:line="360" w:lineRule="exact"/>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2. 学生观看本单元配套</w:t>
            </w:r>
            <w:r>
              <w:rPr>
                <w:rFonts w:hint="eastAsia" w:ascii="Times New Roman" w:hAnsi="Times New Roman" w:cs="Times New Roman"/>
                <w:color w:val="000000" w:themeColor="text1"/>
                <w14:textFill>
                  <w14:solidFill>
                    <w14:schemeClr w14:val="tx1"/>
                  </w14:solidFill>
                </w14:textFill>
              </w:rPr>
              <w:t>的</w:t>
            </w:r>
            <w:r>
              <w:rPr>
                <w:rFonts w:ascii="Times New Roman" w:hAnsi="Times New Roman" w:cs="Times New Roman"/>
                <w:color w:val="000000" w:themeColor="text1"/>
                <w14:textFill>
                  <w14:solidFill>
                    <w14:schemeClr w14:val="tx1"/>
                  </w14:solidFill>
                </w14:textFill>
              </w:rPr>
              <w:t>语法微课视频，进一步梳理比较级和最高级用法的重点知识（拓展活动）。</w:t>
            </w:r>
          </w:p>
          <w:p>
            <w:pPr>
              <w:spacing w:line="360" w:lineRule="exac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（设计意图：</w:t>
            </w:r>
            <w:r>
              <w:rPr>
                <w:rFonts w:ascii="Times New Roman" w:hAnsi="Times New Roman" w:cs="Times New Roman"/>
                <w:b/>
                <w:color w:val="000000" w:themeColor="text1"/>
                <w:szCs w:val="21"/>
                <w14:textFill>
                  <w14:solidFill>
                    <w14:schemeClr w14:val="tx1"/>
                  </w14:solidFill>
                </w14:textFill>
              </w:rPr>
              <w:t>通过可视化方式，帮助学生在轻松的氛围下梳理知识要点。)</w:t>
            </w:r>
          </w:p>
          <w:p>
            <w:pPr>
              <w:pStyle w:val="2"/>
              <w:spacing w:line="360" w:lineRule="auto"/>
            </w:pPr>
          </w:p>
        </w:tc>
        <w:tc>
          <w:tcPr>
            <w:tcW w:w="720" w:type="dxa"/>
            <w:vAlign w:val="center"/>
          </w:tcPr>
          <w:p>
            <w:pPr>
              <w:jc w:val="center"/>
              <w:rPr>
                <w:rFonts w:hint="eastAsia" w:eastAsia="宋体"/>
                <w:lang w:val="en-US" w:eastAsia="zh-CN"/>
              </w:rPr>
            </w:pPr>
            <w:r>
              <w:rPr>
                <w:rFonts w:hint="eastAsia"/>
                <w:lang w:val="en-US" w:eastAsia="zh-CN"/>
              </w:rPr>
              <w:t>引导</w:t>
            </w:r>
          </w:p>
        </w:tc>
        <w:tc>
          <w:tcPr>
            <w:tcW w:w="720" w:type="dxa"/>
            <w:gridSpan w:val="2"/>
            <w:vAlign w:val="center"/>
          </w:tcPr>
          <w:p>
            <w:pPr>
              <w:jc w:val="center"/>
              <w:rPr>
                <w:rFonts w:hint="eastAsia" w:eastAsia="宋体"/>
                <w:lang w:val="en-US" w:eastAsia="zh-CN"/>
              </w:rPr>
            </w:pPr>
            <w:r>
              <w:rPr>
                <w:rFonts w:hint="eastAsia"/>
                <w:lang w:val="en-US" w:eastAsia="zh-CN"/>
              </w:rPr>
              <w:t>头脑风暴</w:t>
            </w:r>
          </w:p>
        </w:tc>
        <w:tc>
          <w:tcPr>
            <w:tcW w:w="1092" w:type="dxa"/>
            <w:gridSpan w:val="2"/>
            <w:vAlign w:val="center"/>
          </w:tcPr>
          <w:p>
            <w:pPr>
              <w:jc w:val="center"/>
              <w:rPr>
                <w:rFonts w:hint="default" w:eastAsia="宋体"/>
                <w:lang w:val="en-US" w:eastAsia="zh-CN"/>
              </w:rP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exac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Step 2 Presentation</w:t>
            </w:r>
          </w:p>
          <w:p>
            <w:pPr>
              <w:spacing w:line="36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 Think and complete.</w:t>
            </w:r>
          </w:p>
          <w:p>
            <w:pPr>
              <w:spacing w:line="360" w:lineRule="exact"/>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处理教材活动14，可分三步：</w:t>
            </w:r>
          </w:p>
          <w:p>
            <w:pPr>
              <w:spacing w:line="360" w:lineRule="exact"/>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（1）学生研读教材第37页语法</w:t>
            </w:r>
            <w:r>
              <w:rPr>
                <w:rFonts w:hint="eastAsia" w:ascii="Times New Roman" w:hAnsi="Times New Roman" w:cs="Times New Roman"/>
                <w:bCs/>
                <w:color w:val="000000" w:themeColor="text1"/>
                <w14:textFill>
                  <w14:solidFill>
                    <w14:schemeClr w14:val="tx1"/>
                  </w14:solidFill>
                </w14:textFill>
              </w:rPr>
              <w:t>板</w:t>
            </w:r>
            <w:r>
              <w:rPr>
                <w:rFonts w:ascii="Times New Roman" w:hAnsi="Times New Roman" w:cs="Times New Roman"/>
                <w:bCs/>
                <w:color w:val="000000" w:themeColor="text1"/>
                <w14:textFill>
                  <w14:solidFill>
                    <w14:schemeClr w14:val="tx1"/>
                  </w14:solidFill>
                </w14:textFill>
              </w:rPr>
              <w:t>块中比较级与最高级的</w:t>
            </w:r>
            <w:r>
              <w:rPr>
                <w:rFonts w:hint="eastAsia" w:ascii="Times New Roman" w:hAnsi="Times New Roman" w:cs="Times New Roman"/>
                <w:bCs/>
                <w:color w:val="000000" w:themeColor="text1"/>
                <w14:textFill>
                  <w14:solidFill>
                    <w14:schemeClr w14:val="tx1"/>
                  </w14:solidFill>
                </w14:textFill>
              </w:rPr>
              <w:t>例句</w:t>
            </w:r>
            <w:r>
              <w:rPr>
                <w:rFonts w:ascii="Times New Roman" w:hAnsi="Times New Roman" w:cs="Times New Roman"/>
                <w:bCs/>
                <w:color w:val="000000" w:themeColor="text1"/>
                <w14:textFill>
                  <w14:solidFill>
                    <w14:schemeClr w14:val="tx1"/>
                  </w14:solidFill>
                </w14:textFill>
              </w:rPr>
              <w:t>，观察斜体部分，归纳形容词和副词的比较级与最高级的基本用法，尤其是下表中加粗部分的用法。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5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20" w:type="dxa"/>
                  <w:gridSpan w:val="2"/>
                  <w:shd w:val="clear" w:color="auto" w:fill="E7E6E6" w:themeFill="background2"/>
                  <w:vAlign w:val="center"/>
                </w:tcPr>
                <w:p>
                  <w:pPr>
                    <w:snapToGrid w:val="0"/>
                    <w:jc w:val="center"/>
                    <w:rPr>
                      <w:rFonts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14:textFill>
                        <w14:solidFill>
                          <w14:schemeClr w14:val="tx1"/>
                        </w14:solidFill>
                      </w14:textFill>
                    </w:rPr>
                    <w:t>比较级与最高级的基本用法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640" w:type="dxa"/>
                  <w:vAlign w:val="center"/>
                </w:tcPr>
                <w:p>
                  <w:pPr>
                    <w:snapToGrid w:val="0"/>
                    <w:spacing w:before="46" w:beforeLines="15" w:after="46" w:afterLines="15"/>
                    <w:jc w:val="center"/>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比较级基本句型</w:t>
                  </w:r>
                </w:p>
              </w:tc>
              <w:tc>
                <w:tcPr>
                  <w:tcW w:w="5080" w:type="dxa"/>
                  <w:vAlign w:val="center"/>
                </w:tcPr>
                <w:p>
                  <w:pPr>
                    <w:snapToGrid w:val="0"/>
                    <w:spacing w:before="46" w:beforeLines="15" w:after="46" w:afterLines="15"/>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 xml:space="preserve">A + 动词 + 比较级 + </w:t>
                  </w:r>
                  <w:r>
                    <w:rPr>
                      <w:rFonts w:ascii="Times New Roman" w:hAnsi="Times New Roman" w:cs="Times New Roman"/>
                      <w:b/>
                      <w:bCs/>
                      <w:color w:val="000000" w:themeColor="text1"/>
                      <w14:textFill>
                        <w14:solidFill>
                          <w14:schemeClr w14:val="tx1"/>
                        </w14:solidFill>
                      </w14:textFill>
                    </w:rPr>
                    <w:t>than</w:t>
                  </w:r>
                  <w:r>
                    <w:rPr>
                      <w:rFonts w:ascii="Times New Roman" w:hAnsi="Times New Roman" w:cs="Times New Roman"/>
                      <w:bCs/>
                      <w:color w:val="000000" w:themeColor="text1"/>
                      <w14:textFill>
                        <w14:solidFill>
                          <w14:schemeClr w14:val="tx1"/>
                        </w14:solidFill>
                      </w14:textFill>
                    </w:rPr>
                    <w:t xml:space="preserve"> +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640" w:type="dxa"/>
                  <w:vAlign w:val="center"/>
                </w:tcPr>
                <w:p>
                  <w:pPr>
                    <w:snapToGrid w:val="0"/>
                    <w:spacing w:before="46" w:beforeLines="15" w:after="46" w:afterLines="15"/>
                    <w:jc w:val="center"/>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最高级基本句型</w:t>
                  </w:r>
                </w:p>
              </w:tc>
              <w:tc>
                <w:tcPr>
                  <w:tcW w:w="5080" w:type="dxa"/>
                  <w:vAlign w:val="center"/>
                </w:tcPr>
                <w:p>
                  <w:pPr>
                    <w:snapToGrid w:val="0"/>
                    <w:spacing w:before="46" w:beforeLines="15" w:after="46" w:afterLines="15"/>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主语 + 动词 +</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b/>
                      <w:bCs/>
                      <w:color w:val="000000" w:themeColor="text1"/>
                      <w14:textFill>
                        <w14:solidFill>
                          <w14:schemeClr w14:val="tx1"/>
                        </w14:solidFill>
                      </w14:textFill>
                    </w:rPr>
                    <w:t>the</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 xml:space="preserve">+ </w:t>
                  </w:r>
                  <w:r>
                    <w:rPr>
                      <w:rFonts w:hint="eastAsia" w:ascii="Times New Roman" w:hAnsi="Times New Roman" w:cs="Times New Roman"/>
                      <w:bCs/>
                      <w:color w:val="000000" w:themeColor="text1"/>
                      <w14:textFill>
                        <w14:solidFill>
                          <w14:schemeClr w14:val="tx1"/>
                        </w14:solidFill>
                      </w14:textFill>
                    </w:rPr>
                    <w:t>最高级</w:t>
                  </w:r>
                  <w:r>
                    <w:rPr>
                      <w:rFonts w:ascii="Times New Roman" w:hAnsi="Times New Roman" w:cs="Times New Roman"/>
                      <w:bCs/>
                      <w:color w:val="000000" w:themeColor="text1"/>
                      <w14:textFill>
                        <w14:solidFill>
                          <w14:schemeClr w14:val="tx1"/>
                        </w14:solidFill>
                      </w14:textFill>
                    </w:rPr>
                    <w:t xml:space="preserve"> + </w:t>
                  </w:r>
                  <w:r>
                    <w:rPr>
                      <w:rFonts w:ascii="Times New Roman" w:hAnsi="Times New Roman" w:cs="Times New Roman"/>
                      <w:b/>
                      <w:bCs/>
                      <w:color w:val="000000" w:themeColor="text1"/>
                      <w14:textFill>
                        <w14:solidFill>
                          <w14:schemeClr w14:val="tx1"/>
                        </w14:solidFill>
                      </w14:textFill>
                    </w:rPr>
                    <w:t>of / in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40" w:type="dxa"/>
                  <w:vAlign w:val="center"/>
                </w:tcPr>
                <w:p>
                  <w:pPr>
                    <w:snapToGrid w:val="0"/>
                    <w:spacing w:before="46" w:beforeLines="15" w:after="46" w:afterLines="15"/>
                    <w:jc w:val="center"/>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同级比较</w:t>
                  </w:r>
                </w:p>
              </w:tc>
              <w:tc>
                <w:tcPr>
                  <w:tcW w:w="5080" w:type="dxa"/>
                  <w:vAlign w:val="center"/>
                </w:tcPr>
                <w:p>
                  <w:pPr>
                    <w:snapToGrid w:val="0"/>
                    <w:spacing w:before="46" w:beforeLines="15" w:after="46" w:afterLines="15"/>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 xml:space="preserve">主语 + 动词 + </w:t>
                  </w:r>
                  <w:r>
                    <w:rPr>
                      <w:rFonts w:ascii="Times New Roman" w:hAnsi="Times New Roman" w:cs="Times New Roman"/>
                      <w:b/>
                      <w:bCs/>
                      <w:color w:val="000000" w:themeColor="text1"/>
                      <w14:textFill>
                        <w14:solidFill>
                          <w14:schemeClr w14:val="tx1"/>
                        </w14:solidFill>
                      </w14:textFill>
                    </w:rPr>
                    <w:t>as</w:t>
                  </w:r>
                  <w:r>
                    <w:rPr>
                      <w:rFonts w:ascii="Times New Roman" w:hAnsi="Times New Roman" w:cs="Times New Roman"/>
                      <w:bCs/>
                      <w:color w:val="000000" w:themeColor="text1"/>
                      <w14:textFill>
                        <w14:solidFill>
                          <w14:schemeClr w14:val="tx1"/>
                        </w14:solidFill>
                      </w14:textFill>
                    </w:rPr>
                    <w:t xml:space="preserve"> + </w:t>
                  </w:r>
                  <w:r>
                    <w:rPr>
                      <w:rFonts w:ascii="Times New Roman" w:hAnsi="Times New Roman" w:cs="Times New Roman"/>
                      <w:b/>
                      <w:bCs/>
                      <w:color w:val="000000" w:themeColor="text1"/>
                      <w14:textFill>
                        <w14:solidFill>
                          <w14:schemeClr w14:val="tx1"/>
                        </w14:solidFill>
                      </w14:textFill>
                    </w:rPr>
                    <w:t>形容词/副词原形</w:t>
                  </w:r>
                  <w:r>
                    <w:rPr>
                      <w:rFonts w:ascii="Times New Roman" w:hAnsi="Times New Roman" w:cs="Times New Roman"/>
                      <w:bCs/>
                      <w:color w:val="000000" w:themeColor="text1"/>
                      <w14:textFill>
                        <w14:solidFill>
                          <w14:schemeClr w14:val="tx1"/>
                        </w14:solidFill>
                      </w14:textFill>
                    </w:rPr>
                    <w:t xml:space="preserve"> + </w:t>
                  </w:r>
                  <w:r>
                    <w:rPr>
                      <w:rFonts w:ascii="Times New Roman" w:hAnsi="Times New Roman" w:cs="Times New Roman"/>
                      <w:b/>
                      <w:bCs/>
                      <w:color w:val="000000" w:themeColor="text1"/>
                      <w14:textFill>
                        <w14:solidFill>
                          <w14:schemeClr w14:val="tx1"/>
                        </w14:solidFill>
                      </w14:textFill>
                    </w:rPr>
                    <w:t xml:space="preserve">as </w:t>
                  </w:r>
                  <w:r>
                    <w:rPr>
                      <w:rFonts w:ascii="Times New Roman" w:hAnsi="Times New Roman" w:cs="Times New Roman"/>
                      <w:bCs/>
                      <w:color w:val="000000" w:themeColor="text1"/>
                      <w14:textFill>
                        <w14:solidFill>
                          <w14:schemeClr w14:val="tx1"/>
                        </w14:solidFill>
                      </w14:textFill>
                    </w:rPr>
                    <w:t>+ …</w:t>
                  </w:r>
                </w:p>
              </w:tc>
            </w:tr>
          </w:tbl>
          <w:p>
            <w:pPr>
              <w:spacing w:line="360" w:lineRule="exact"/>
              <w:ind w:firstLine="420" w:firstLineChars="2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（2）学生观察表格中单词的变化规律，写出形容词或副词的比较级和最高级形式。</w:t>
            </w:r>
          </w:p>
          <w:tbl>
            <w:tblPr>
              <w:tblStyle w:val="4"/>
              <w:tblpPr w:leftFromText="180" w:rightFromText="180" w:vertAnchor="text" w:horzAnchor="page" w:tblpX="27" w:tblpY="638"/>
              <w:tblOverlap w:val="never"/>
              <w:tblW w:w="6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2344"/>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52" w:type="dxa"/>
                  <w:shd w:val="clear" w:color="auto" w:fill="E7E6E6" w:themeFill="background2"/>
                  <w:vAlign w:val="center"/>
                </w:tcPr>
                <w:p>
                  <w:pPr>
                    <w:snapToGrid w:val="0"/>
                    <w:jc w:val="center"/>
                    <w:rPr>
                      <w:rFonts w:ascii="Times New Roman" w:hAnsi="Times New Roman" w:cs="Times New Roman"/>
                      <w:b/>
                      <w:szCs w:val="21"/>
                    </w:rPr>
                  </w:pPr>
                  <w:r>
                    <w:rPr>
                      <w:rFonts w:hint="eastAsia" w:ascii="Times New Roman" w:hAnsi="Times New Roman" w:cs="Times New Roman"/>
                      <w:b/>
                      <w:szCs w:val="21"/>
                    </w:rPr>
                    <w:t>规则变化</w:t>
                  </w:r>
                </w:p>
              </w:tc>
              <w:tc>
                <w:tcPr>
                  <w:tcW w:w="2344" w:type="dxa"/>
                  <w:shd w:val="clear" w:color="auto" w:fill="E7E6E6" w:themeFill="background2"/>
                  <w:vAlign w:val="center"/>
                </w:tcPr>
                <w:p>
                  <w:pPr>
                    <w:snapToGrid w:val="0"/>
                    <w:jc w:val="center"/>
                    <w:rPr>
                      <w:rFonts w:ascii="Times New Roman" w:hAnsi="Times New Roman" w:cs="Times New Roman"/>
                      <w:b/>
                      <w:szCs w:val="21"/>
                    </w:rPr>
                  </w:pPr>
                  <w:r>
                    <w:rPr>
                      <w:rFonts w:hint="eastAsia" w:ascii="Times New Roman" w:hAnsi="Times New Roman" w:cs="Times New Roman"/>
                      <w:b/>
                      <w:szCs w:val="21"/>
                    </w:rPr>
                    <w:t>情况</w:t>
                  </w:r>
                </w:p>
              </w:tc>
              <w:tc>
                <w:tcPr>
                  <w:tcW w:w="2883" w:type="dxa"/>
                  <w:shd w:val="clear" w:color="auto" w:fill="E7E6E6" w:themeFill="background2"/>
                  <w:vAlign w:val="center"/>
                </w:tcPr>
                <w:p>
                  <w:pPr>
                    <w:snapToGrid w:val="0"/>
                    <w:jc w:val="center"/>
                    <w:rPr>
                      <w:rFonts w:ascii="Times New Roman" w:hAnsi="Times New Roman" w:cs="Times New Roman"/>
                      <w:b/>
                      <w:szCs w:val="21"/>
                    </w:rPr>
                  </w:pPr>
                  <w:r>
                    <w:rPr>
                      <w:rFonts w:hint="eastAsia" w:ascii="Times New Roman" w:hAnsi="Times New Roman" w:cs="Times New Roman"/>
                      <w:b/>
                      <w:szCs w:val="21"/>
                    </w:rPr>
                    <w:t>变化方式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52" w:type="dxa"/>
                  <w:vMerge w:val="restart"/>
                  <w:vAlign w:val="center"/>
                </w:tcPr>
                <w:p>
                  <w:pPr>
                    <w:snapToGrid w:val="0"/>
                    <w:spacing w:before="46" w:beforeLines="15" w:after="46" w:afterLines="15"/>
                    <w:jc w:val="center"/>
                    <w:rPr>
                      <w:rFonts w:ascii="Times New Roman" w:hAnsi="Times New Roman" w:cs="Times New Roman"/>
                    </w:rPr>
                  </w:pPr>
                  <w:r>
                    <w:rPr>
                      <w:rFonts w:ascii="Times New Roman" w:hAnsi="Times New Roman" w:cs="Times New Roman"/>
                    </w:rPr>
                    <w:t>单音节词</w:t>
                  </w:r>
                </w:p>
                <w:p>
                  <w:pPr>
                    <w:snapToGrid w:val="0"/>
                    <w:spacing w:before="46" w:beforeLines="15" w:after="46" w:afterLines="15"/>
                    <w:jc w:val="center"/>
                    <w:rPr>
                      <w:rFonts w:ascii="Times New Roman" w:hAnsi="Times New Roman" w:cs="Times New Roman"/>
                      <w:bCs/>
                      <w:color w:val="FF0000"/>
                      <w:szCs w:val="21"/>
                    </w:rPr>
                  </w:pPr>
                  <w:r>
                    <w:rPr>
                      <w:rFonts w:ascii="Times New Roman" w:hAnsi="Times New Roman" w:cs="Times New Roman"/>
                    </w:rPr>
                    <w:t>及少数双音节词</w:t>
                  </w:r>
                </w:p>
              </w:tc>
              <w:tc>
                <w:tcPr>
                  <w:tcW w:w="2344" w:type="dxa"/>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一般情况</w:t>
                  </w:r>
                </w:p>
              </w:tc>
              <w:tc>
                <w:tcPr>
                  <w:tcW w:w="2883" w:type="dxa"/>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直接加 er 或 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52" w:type="dxa"/>
                  <w:vMerge w:val="continue"/>
                  <w:vAlign w:val="center"/>
                </w:tcPr>
                <w:p>
                  <w:pPr>
                    <w:snapToGrid w:val="0"/>
                    <w:spacing w:before="46" w:beforeLines="15" w:after="46" w:afterLines="15"/>
                    <w:jc w:val="center"/>
                    <w:rPr>
                      <w:rFonts w:ascii="Times New Roman" w:hAnsi="Times New Roman" w:cs="Times New Roman"/>
                      <w:bCs/>
                      <w:color w:val="FF0000"/>
                      <w:szCs w:val="21"/>
                    </w:rPr>
                  </w:pPr>
                </w:p>
              </w:tc>
              <w:tc>
                <w:tcPr>
                  <w:tcW w:w="2344" w:type="dxa"/>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以 e 结尾的词</w:t>
                  </w:r>
                </w:p>
              </w:tc>
              <w:tc>
                <w:tcPr>
                  <w:tcW w:w="2883" w:type="dxa"/>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加 r 或 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52" w:type="dxa"/>
                  <w:vMerge w:val="continue"/>
                  <w:vAlign w:val="center"/>
                </w:tcPr>
                <w:p>
                  <w:pPr>
                    <w:snapToGrid w:val="0"/>
                    <w:spacing w:before="46" w:beforeLines="15" w:after="46" w:afterLines="15"/>
                    <w:jc w:val="center"/>
                    <w:rPr>
                      <w:rFonts w:ascii="Times New Roman" w:hAnsi="Times New Roman" w:cs="Times New Roman"/>
                      <w:bCs/>
                      <w:color w:val="FF0000"/>
                      <w:szCs w:val="21"/>
                    </w:rPr>
                  </w:pPr>
                </w:p>
              </w:tc>
              <w:tc>
                <w:tcPr>
                  <w:tcW w:w="2344" w:type="dxa"/>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以</w:t>
                  </w:r>
                  <w:r>
                    <w:rPr>
                      <w:rFonts w:hint="eastAsia" w:ascii="Times New Roman" w:hAnsi="Times New Roman" w:cs="Times New Roman"/>
                    </w:rPr>
                    <w:t>“</w:t>
                  </w:r>
                  <w:r>
                    <w:rPr>
                      <w:rFonts w:ascii="Times New Roman" w:hAnsi="Times New Roman" w:cs="Times New Roman"/>
                    </w:rPr>
                    <w:t>辅音 + y</w:t>
                  </w:r>
                  <w:r>
                    <w:rPr>
                      <w:rFonts w:hint="eastAsia" w:ascii="Times New Roman" w:hAnsi="Times New Roman" w:cs="Times New Roman"/>
                    </w:rPr>
                    <w:t>”</w:t>
                  </w:r>
                  <w:r>
                    <w:rPr>
                      <w:rFonts w:ascii="Times New Roman" w:hAnsi="Times New Roman" w:cs="Times New Roman"/>
                    </w:rPr>
                    <w:t>结尾的词</w:t>
                  </w:r>
                </w:p>
              </w:tc>
              <w:tc>
                <w:tcPr>
                  <w:tcW w:w="2883" w:type="dxa"/>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变 y 为 i 加 er 或 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52" w:type="dxa"/>
                  <w:vMerge w:val="continue"/>
                  <w:vAlign w:val="center"/>
                </w:tcPr>
                <w:p>
                  <w:pPr>
                    <w:snapToGrid w:val="0"/>
                    <w:spacing w:before="46" w:beforeLines="15" w:after="46" w:afterLines="15"/>
                    <w:jc w:val="center"/>
                    <w:rPr>
                      <w:rFonts w:ascii="Times New Roman" w:hAnsi="Times New Roman" w:cs="Times New Roman"/>
                      <w:bCs/>
                      <w:color w:val="FF0000"/>
                      <w:szCs w:val="21"/>
                    </w:rPr>
                  </w:pPr>
                </w:p>
              </w:tc>
              <w:tc>
                <w:tcPr>
                  <w:tcW w:w="2344" w:type="dxa"/>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以一个辅音字母结尾的词</w:t>
                  </w:r>
                </w:p>
              </w:tc>
              <w:tc>
                <w:tcPr>
                  <w:tcW w:w="2883" w:type="dxa"/>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双写辅音字母，再加 er 或 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52" w:type="dxa"/>
                  <w:vAlign w:val="center"/>
                </w:tcPr>
                <w:p>
                  <w:pPr>
                    <w:snapToGrid w:val="0"/>
                    <w:spacing w:before="46" w:beforeLines="15" w:after="46" w:afterLines="15"/>
                    <w:jc w:val="center"/>
                    <w:rPr>
                      <w:rFonts w:ascii="Times New Roman" w:hAnsi="Times New Roman" w:cs="Times New Roman"/>
                    </w:rPr>
                  </w:pPr>
                  <w:r>
                    <w:rPr>
                      <w:rFonts w:ascii="Times New Roman" w:hAnsi="Times New Roman" w:cs="Times New Roman"/>
                    </w:rPr>
                    <w:t>其他双音节词</w:t>
                  </w:r>
                </w:p>
                <w:p>
                  <w:pPr>
                    <w:snapToGrid w:val="0"/>
                    <w:spacing w:before="46" w:beforeLines="15" w:after="46" w:afterLines="15"/>
                    <w:jc w:val="center"/>
                    <w:rPr>
                      <w:rFonts w:ascii="Times New Roman" w:hAnsi="Times New Roman" w:cs="Times New Roman"/>
                      <w:bCs/>
                      <w:color w:val="FF0000"/>
                      <w:szCs w:val="21"/>
                    </w:rPr>
                  </w:pPr>
                  <w:r>
                    <w:rPr>
                      <w:rFonts w:ascii="Times New Roman" w:hAnsi="Times New Roman" w:cs="Times New Roman"/>
                    </w:rPr>
                    <w:t>及多音节词</w:t>
                  </w:r>
                </w:p>
              </w:tc>
              <w:tc>
                <w:tcPr>
                  <w:tcW w:w="5227" w:type="dxa"/>
                  <w:gridSpan w:val="2"/>
                  <w:vAlign w:val="center"/>
                </w:tcPr>
                <w:p>
                  <w:pPr>
                    <w:snapToGrid w:val="0"/>
                    <w:spacing w:before="46" w:beforeLines="15" w:after="46" w:afterLines="15"/>
                    <w:rPr>
                      <w:rFonts w:ascii="Times New Roman" w:hAnsi="Times New Roman" w:cs="Times New Roman"/>
                      <w:bCs/>
                      <w:color w:val="FF0000"/>
                      <w:szCs w:val="21"/>
                    </w:rPr>
                  </w:pPr>
                  <w:r>
                    <w:rPr>
                      <w:rFonts w:ascii="Times New Roman" w:hAnsi="Times New Roman" w:cs="Times New Roman"/>
                    </w:rPr>
                    <w:t>在前面加 more 或 most、less 或 least</w:t>
                  </w:r>
                </w:p>
              </w:tc>
            </w:tr>
          </w:tbl>
          <w:p>
            <w:pPr>
              <w:spacing w:line="360" w:lineRule="exact"/>
              <w:ind w:left="567" w:leftChars="200" w:hanging="147" w:hangingChars="7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（3）教师核对答案，总结形容词与副词的比较级和最高级的变化规则。对于学生较陌生的变化规则，适当补充更多的例词。</w:t>
            </w:r>
          </w:p>
          <w:p>
            <w:pPr>
              <w:spacing w:line="360" w:lineRule="exact"/>
              <w:ind w:left="735" w:leftChars="350"/>
              <w:rPr>
                <w:rFonts w:ascii="Times New Roman" w:hAnsi="Times New Roman" w:cs="Times New Roman"/>
                <w:bCs/>
                <w:szCs w:val="21"/>
              </w:rPr>
            </w:pPr>
            <w:r>
              <w:rPr>
                <w:rFonts w:ascii="Times New Roman" w:hAnsi="Times New Roman" w:cs="Times New Roman"/>
                <w:bCs/>
                <w:szCs w:val="21"/>
              </w:rPr>
              <w:t>不规则变化依学生英语基础酌情补充。</w:t>
            </w:r>
          </w:p>
          <w:p>
            <w:pPr>
              <w:spacing w:line="360" w:lineRule="exact"/>
              <w:rPr>
                <w:rFonts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14:textFill>
                  <w14:solidFill>
                    <w14:schemeClr w14:val="tx1"/>
                  </w14:solidFill>
                </w14:textFill>
              </w:rPr>
              <w:t>（</w:t>
            </w:r>
            <w:r>
              <w:rPr>
                <w:rFonts w:ascii="Times New Roman" w:hAnsi="Times New Roman" w:cs="Times New Roman"/>
                <w:b/>
                <w:color w:val="000000" w:themeColor="text1"/>
                <w14:textFill>
                  <w14:solidFill>
                    <w14:schemeClr w14:val="tx1"/>
                  </w14:solidFill>
                </w14:textFill>
              </w:rPr>
              <w:t>设计意图：本活动要求学生通过观察语法板块中比较级与最高级的</w:t>
            </w:r>
            <w:r>
              <w:rPr>
                <w:rFonts w:hint="eastAsia" w:ascii="Times New Roman" w:hAnsi="Times New Roman" w:cs="Times New Roman"/>
                <w:b/>
                <w:color w:val="000000" w:themeColor="text1"/>
                <w14:textFill>
                  <w14:solidFill>
                    <w14:schemeClr w14:val="tx1"/>
                  </w14:solidFill>
                </w14:textFill>
              </w:rPr>
              <w:t>例句</w:t>
            </w:r>
            <w:r>
              <w:rPr>
                <w:rFonts w:ascii="Times New Roman" w:hAnsi="Times New Roman" w:cs="Times New Roman"/>
                <w:b/>
                <w:color w:val="000000" w:themeColor="text1"/>
                <w14:textFill>
                  <w14:solidFill>
                    <w14:schemeClr w14:val="tx1"/>
                  </w14:solidFill>
                </w14:textFill>
              </w:rPr>
              <w:t>，归纳形容词和副词的比较级与最高级的基本用法。在此基础上通过观察、对比</w:t>
            </w:r>
            <w:r>
              <w:rPr>
                <w:rFonts w:hint="eastAsia" w:ascii="Times New Roman" w:hAnsi="Times New Roman" w:cs="Times New Roman"/>
                <w:b/>
                <w:color w:val="000000" w:themeColor="text1"/>
                <w14:textFill>
                  <w14:solidFill>
                    <w14:schemeClr w14:val="tx1"/>
                  </w14:solidFill>
                </w14:textFill>
              </w:rPr>
              <w:t>，</w:t>
            </w:r>
            <w:r>
              <w:rPr>
                <w:rFonts w:ascii="Times New Roman" w:hAnsi="Times New Roman" w:cs="Times New Roman"/>
                <w:b/>
                <w:color w:val="000000" w:themeColor="text1"/>
                <w14:textFill>
                  <w14:solidFill>
                    <w14:schemeClr w14:val="tx1"/>
                  </w14:solidFill>
                </w14:textFill>
              </w:rPr>
              <w:t>分析表格中形容词或副词的变化规律，将表格填写完整，总结形容词与副词的比较级和最高级的变化规则。</w:t>
            </w:r>
            <w:r>
              <w:rPr>
                <w:rFonts w:hint="eastAsia" w:ascii="Times New Roman" w:hAnsi="Times New Roman" w:cs="Times New Roman"/>
                <w:b/>
                <w:color w:val="000000" w:themeColor="text1"/>
                <w14:textFill>
                  <w14:solidFill>
                    <w14:schemeClr w14:val="tx1"/>
                  </w14:solidFill>
                </w14:textFill>
              </w:rPr>
              <w:t>）</w:t>
            </w:r>
          </w:p>
          <w:p>
            <w:pPr>
              <w:spacing w:line="360" w:lineRule="exact"/>
              <w:rPr>
                <w:rFonts w:ascii="Times New Roman" w:hAnsi="Times New Roman" w:cs="Times New Roman"/>
                <w:color w:val="000000" w:themeColor="text1"/>
                <w:szCs w:val="21"/>
                <w14:textFill>
                  <w14:solidFill>
                    <w14:schemeClr w14:val="tx1"/>
                  </w14:solidFill>
                </w14:textFill>
              </w:rPr>
            </w:pPr>
          </w:p>
          <w:p>
            <w:pPr>
              <w:spacing w:line="360" w:lineRule="exact"/>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Step 3 Practice</w:t>
            </w:r>
          </w:p>
          <w:p>
            <w:pPr>
              <w:spacing w:line="360" w:lineRule="exact"/>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 Read and complete.</w:t>
            </w:r>
          </w:p>
          <w:p>
            <w:pPr>
              <w:spacing w:line="36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处理教材活动15，可分两步：</w:t>
            </w:r>
          </w:p>
          <w:p>
            <w:pPr>
              <w:spacing w:line="36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学生理解句子大意，从活动14中选择适当的词并用其正确的比较级或最高级形式填空。教师检查并反馈。</w:t>
            </w:r>
          </w:p>
          <w:p>
            <w:pPr>
              <w:spacing w:line="36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2</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学生再读补全后的句子，教师引导学</w:t>
            </w:r>
            <w:r>
              <w:rPr>
                <w:rFonts w:ascii="Times New Roman" w:hAnsi="Times New Roman" w:cs="Times New Roman"/>
                <w:bCs/>
                <w:szCs w:val="21"/>
              </w:rPr>
              <w:t>生总结比较级和最高级的常见用法（</w:t>
            </w:r>
            <w:r>
              <w:rPr>
                <w:rFonts w:ascii="Times New Roman" w:hAnsi="Times New Roman" w:cs="Times New Roman"/>
                <w:bCs/>
                <w:color w:val="000000" w:themeColor="text1"/>
                <w:szCs w:val="21"/>
                <w14:textFill>
                  <w14:solidFill>
                    <w14:schemeClr w14:val="tx1"/>
                  </w14:solidFill>
                </w14:textFill>
              </w:rPr>
              <w:t>拓展活动）。</w:t>
            </w:r>
          </w:p>
          <w:p>
            <w:pPr>
              <w:spacing w:line="36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依据学生基础，可将补全后的句子与</w:t>
            </w:r>
            <w:r>
              <w:rPr>
                <w:rFonts w:ascii="Times New Roman" w:hAnsi="Times New Roman" w:cs="Times New Roman"/>
                <w:bCs/>
                <w:color w:val="000000" w:themeColor="text1"/>
                <w14:textFill>
                  <w14:solidFill>
                    <w14:schemeClr w14:val="tx1"/>
                  </w14:solidFill>
                </w14:textFill>
              </w:rPr>
              <w:t>教材第37页语法</w:t>
            </w:r>
            <w:r>
              <w:rPr>
                <w:rFonts w:hint="eastAsia" w:ascii="Times New Roman" w:hAnsi="Times New Roman" w:cs="Times New Roman"/>
                <w:bCs/>
                <w:color w:val="000000" w:themeColor="text1"/>
                <w14:textFill>
                  <w14:solidFill>
                    <w14:schemeClr w14:val="tx1"/>
                  </w14:solidFill>
                </w14:textFill>
              </w:rPr>
              <w:t>板</w:t>
            </w:r>
            <w:r>
              <w:rPr>
                <w:rFonts w:ascii="Times New Roman" w:hAnsi="Times New Roman" w:cs="Times New Roman"/>
                <w:bCs/>
                <w:color w:val="000000" w:themeColor="text1"/>
                <w14:textFill>
                  <w14:solidFill>
                    <w14:schemeClr w14:val="tx1"/>
                  </w14:solidFill>
                </w14:textFill>
              </w:rPr>
              <w:t>块中的例句综合分析，重点关注下表中加粗部分，如：比较级常与than连用，最高级常与比较范围连用，形容词最高级前</w:t>
            </w:r>
            <w:r>
              <w:rPr>
                <w:rFonts w:hint="eastAsia" w:ascii="Times New Roman" w:hAnsi="Times New Roman" w:cs="Times New Roman"/>
                <w:bCs/>
                <w:color w:val="000000" w:themeColor="text1"/>
                <w14:textFill>
                  <w14:solidFill>
                    <w14:schemeClr w14:val="tx1"/>
                  </w14:solidFill>
                </w14:textFill>
              </w:rPr>
              <w:t>需</w:t>
            </w:r>
            <w:r>
              <w:rPr>
                <w:rFonts w:ascii="Times New Roman" w:hAnsi="Times New Roman" w:cs="Times New Roman"/>
                <w:bCs/>
                <w:color w:val="000000" w:themeColor="text1"/>
                <w14:textFill>
                  <w14:solidFill>
                    <w14:schemeClr w14:val="tx1"/>
                  </w14:solidFill>
                </w14:textFill>
              </w:rPr>
              <w:t>加the。</w:t>
            </w:r>
          </w:p>
          <w:p>
            <w:pPr>
              <w:spacing w:line="360" w:lineRule="exact"/>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 Look and compare.</w:t>
            </w:r>
          </w:p>
          <w:p>
            <w:pPr>
              <w:spacing w:line="36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处理教材活动16</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可分三步：</w:t>
            </w:r>
          </w:p>
          <w:p>
            <w:pPr>
              <w:spacing w:line="36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学生研读示例，分辨出所用到的比较级和最高级的基本句型。</w:t>
            </w:r>
          </w:p>
          <w:p>
            <w:pPr>
              <w:spacing w:line="360" w:lineRule="exact"/>
              <w:ind w:firstLine="420" w:firstLineChars="200"/>
              <w:rPr>
                <w:rFonts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2</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学生读图标内容和所提供的关键词，仿照示例，用相应的句型造句。教师通过学生的描述检测</w:t>
            </w:r>
            <w:r>
              <w:rPr>
                <w:rFonts w:hint="eastAsia" w:ascii="Times New Roman" w:hAnsi="Times New Roman" w:cs="Times New Roman"/>
                <w:bCs/>
                <w:color w:val="000000" w:themeColor="text1"/>
                <w:szCs w:val="21"/>
                <w14:textFill>
                  <w14:solidFill>
                    <w14:schemeClr w14:val="tx1"/>
                  </w14:solidFill>
                </w14:textFill>
              </w:rPr>
              <w:t>其</w:t>
            </w:r>
            <w:r>
              <w:rPr>
                <w:rFonts w:ascii="Times New Roman" w:hAnsi="Times New Roman" w:cs="Times New Roman"/>
                <w:bCs/>
                <w:color w:val="000000" w:themeColor="text1"/>
                <w:szCs w:val="21"/>
                <w14:textFill>
                  <w14:solidFill>
                    <w14:schemeClr w14:val="tx1"/>
                  </w14:solidFill>
                </w14:textFill>
              </w:rPr>
              <w:t>对比较级和最高级基本用法的掌握情况并做出点评。</w:t>
            </w:r>
          </w:p>
          <w:p>
            <w:pPr>
              <w:spacing w:line="360" w:lineRule="exact"/>
              <w:rPr>
                <w:rFonts w:ascii="Times New Roman" w:hAnsi="Times New Roman" w:cs="Times New Roman"/>
                <w:b/>
                <w:color w:val="000000" w:themeColor="text1"/>
                <w14:textFill>
                  <w14:solidFill>
                    <w14:schemeClr w14:val="tx1"/>
                  </w14:solidFill>
                </w14:textFill>
              </w:rPr>
            </w:pPr>
            <w:r>
              <w:rPr>
                <w:rFonts w:hint="eastAsia" w:ascii="Times New Roman" w:hAnsi="Times New Roman" w:cs="Times New Roman"/>
                <w:b/>
                <w:color w:val="000000" w:themeColor="text1"/>
                <w14:textFill>
                  <w14:solidFill>
                    <w14:schemeClr w14:val="tx1"/>
                  </w14:solidFill>
                </w14:textFill>
              </w:rPr>
              <w:t>（</w:t>
            </w:r>
            <w:r>
              <w:rPr>
                <w:rFonts w:ascii="Times New Roman" w:hAnsi="Times New Roman" w:cs="Times New Roman"/>
                <w:b/>
                <w:color w:val="000000" w:themeColor="text1"/>
                <w14:textFill>
                  <w14:solidFill>
                    <w14:schemeClr w14:val="tx1"/>
                  </w14:solidFill>
                </w14:textFill>
              </w:rPr>
              <w:t>设计意图：本环节通过补全句子让学生在真实句子中习得形容词与副词的比较级和最高级的用法，有利于学生提高语用能力并养成总结归纳的习惯。看图表比较并描述三款运动鞋的售价、用户评分和销量</w:t>
            </w:r>
            <w:r>
              <w:rPr>
                <w:rFonts w:hint="eastAsia" w:ascii="Times New Roman" w:hAnsi="Times New Roman" w:cs="Times New Roman"/>
                <w:b/>
                <w:color w:val="000000" w:themeColor="text1"/>
                <w14:textFill>
                  <w14:solidFill>
                    <w14:schemeClr w14:val="tx1"/>
                  </w14:solidFill>
                </w14:textFill>
              </w:rPr>
              <w:t>，</w:t>
            </w:r>
            <w:r>
              <w:rPr>
                <w:rFonts w:ascii="Times New Roman" w:hAnsi="Times New Roman" w:cs="Times New Roman"/>
                <w:b/>
                <w:color w:val="000000" w:themeColor="text1"/>
                <w14:textFill>
                  <w14:solidFill>
                    <w14:schemeClr w14:val="tx1"/>
                  </w14:solidFill>
                </w14:textFill>
              </w:rPr>
              <w:t>为学生的语法训练创造了真实的语用情境，同时关联了单元主题和前面的语料。活动信息通过图表给出，有助于提高学生的思维和图表解读能力。</w:t>
            </w:r>
            <w:r>
              <w:rPr>
                <w:rFonts w:hint="eastAsia" w:ascii="Times New Roman" w:hAnsi="Times New Roman" w:cs="Times New Roman"/>
                <w:b/>
                <w:color w:val="000000" w:themeColor="text1"/>
                <w14:textFill>
                  <w14:solidFill>
                    <w14:schemeClr w14:val="tx1"/>
                  </w14:solidFill>
                </w14:textFill>
              </w:rPr>
              <w:t>）</w:t>
            </w:r>
          </w:p>
          <w:p>
            <w:pPr>
              <w:spacing w:line="360" w:lineRule="auto"/>
              <w:rPr>
                <w:rFonts w:ascii="宋体" w:hAnsi="宋体"/>
                <w:szCs w:val="21"/>
              </w:rPr>
            </w:pPr>
          </w:p>
        </w:tc>
        <w:tc>
          <w:tcPr>
            <w:tcW w:w="720" w:type="dxa"/>
            <w:vAlign w:val="center"/>
          </w:tcPr>
          <w:p>
            <w:pPr>
              <w:jc w:val="center"/>
              <w:rPr>
                <w:rFonts w:hint="eastAsia" w:eastAsia="宋体"/>
                <w:lang w:eastAsia="zh-CN"/>
              </w:rPr>
            </w:pPr>
            <w:r>
              <w:rPr>
                <w:rFonts w:hint="eastAsia"/>
                <w:lang w:val="en-US" w:eastAsia="zh-CN"/>
              </w:rPr>
              <w:t>引导</w:t>
            </w:r>
          </w:p>
        </w:tc>
        <w:tc>
          <w:tcPr>
            <w:tcW w:w="720" w:type="dxa"/>
            <w:gridSpan w:val="2"/>
            <w:vAlign w:val="center"/>
          </w:tcPr>
          <w:p>
            <w:pPr>
              <w:jc w:val="center"/>
              <w:rPr>
                <w:rFonts w:hint="default" w:eastAsia="宋体"/>
                <w:lang w:val="en-US" w:eastAsia="zh-CN"/>
              </w:rPr>
            </w:pPr>
            <w:r>
              <w:rPr>
                <w:rFonts w:hint="eastAsia"/>
                <w:lang w:val="en-US" w:eastAsia="zh-CN"/>
              </w:rPr>
              <w:t>研读理解</w:t>
            </w:r>
          </w:p>
        </w:tc>
        <w:tc>
          <w:tcPr>
            <w:tcW w:w="1092" w:type="dxa"/>
            <w:gridSpan w:val="2"/>
            <w:vAlign w:val="center"/>
          </w:tcPr>
          <w:p>
            <w:pPr>
              <w:jc w:val="cente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Choose and complete.</w:t>
            </w:r>
          </w:p>
          <w:p>
            <w:pPr>
              <w:spacing w:line="36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处理教材活动17</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可分两步：</w:t>
            </w:r>
          </w:p>
          <w:p>
            <w:pPr>
              <w:spacing w:line="36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（1）师生一起复习本单元购物及描述商品信息的相关词汇，重点复习本单元中出现的使用活动17中形容词和副词的句子。</w:t>
            </w:r>
          </w:p>
          <w:p>
            <w:pPr>
              <w:spacing w:line="36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（2）学生选择合适的形容词和副词，用其适当形式补全句子。教师检查并反馈。</w:t>
            </w:r>
          </w:p>
          <w:p>
            <w:pPr>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Read and complete.</w:t>
            </w:r>
          </w:p>
          <w:p>
            <w:pPr>
              <w:spacing w:line="36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处理教材活动18，可分两步：</w:t>
            </w:r>
          </w:p>
          <w:p>
            <w:pPr>
              <w:spacing w:line="36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（1）教师根据学生情况对所给动词进行复习讲解。学生阅读活动中这些常用于购物和商品描述的句子，</w:t>
            </w:r>
            <w:r>
              <w:rPr>
                <w:rFonts w:hint="eastAsia" w:ascii="Times New Roman" w:hAnsi="Times New Roman" w:cs="Times New Roman"/>
                <w:color w:val="000000" w:themeColor="text1"/>
                <w14:textFill>
                  <w14:solidFill>
                    <w14:schemeClr w14:val="tx1"/>
                  </w14:solidFill>
                </w14:textFill>
              </w:rPr>
              <w:t>然后</w:t>
            </w:r>
            <w:r>
              <w:rPr>
                <w:rFonts w:ascii="Times New Roman" w:hAnsi="Times New Roman" w:cs="Times New Roman"/>
                <w:color w:val="000000" w:themeColor="text1"/>
                <w14:textFill>
                  <w14:solidFill>
                    <w14:schemeClr w14:val="tx1"/>
                  </w14:solidFill>
                </w14:textFill>
              </w:rPr>
              <w:t>选择合适的单词，用其适当形式补全句子。全班共同核对答案。</w:t>
            </w:r>
          </w:p>
          <w:p>
            <w:pPr>
              <w:spacing w:line="360" w:lineRule="exact"/>
              <w:ind w:firstLine="420" w:firstLineChars="200"/>
              <w:rPr>
                <w:rFonts w:cs="Arial"/>
                <w:bCs/>
                <w:sz w:val="21"/>
                <w:szCs w:val="21"/>
              </w:rPr>
            </w:pPr>
            <w:r>
              <w:rPr>
                <w:rFonts w:ascii="Times New Roman" w:hAnsi="Times New Roman" w:cs="Times New Roman"/>
                <w:color w:val="000000" w:themeColor="text1"/>
                <w14:textFill>
                  <w14:solidFill>
                    <w14:schemeClr w14:val="tx1"/>
                  </w14:solidFill>
                </w14:textFill>
              </w:rPr>
              <w:t>*（2）学生根据重点词汇识记这些句子。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结合本节课所学内容，设计形容词和副词的比较级和最高级用法的思维导图。</w:t>
            </w:r>
          </w:p>
          <w:p>
            <w:pPr>
              <w:spacing w:line="360" w:lineRule="exact"/>
            </w:pPr>
            <w:r>
              <w:rPr>
                <w:rFonts w:ascii="Times New Roman" w:hAnsi="Times New Roman" w:cs="Times New Roman"/>
                <w:color w:val="000000" w:themeColor="text1"/>
                <w14:textFill>
                  <w14:solidFill>
                    <w14:schemeClr w14:val="tx1"/>
                  </w14:solidFill>
                </w14:textFill>
              </w:rPr>
              <w:t>2. 网上搜寻最喜欢的商品页面，勾选出其关键要素。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rPr>
                <w:rStyle w:val="9"/>
                <w:rFonts w:ascii="Times New Roman" w:hAnsi="Times New Roman" w:cs="Times New Roman"/>
                <w:b w:val="0"/>
                <w:bCs/>
                <w:color w:val="000000" w:themeColor="text1"/>
                <w:sz w:val="21"/>
                <w:szCs w:val="21"/>
                <w14:textFill>
                  <w14:solidFill>
                    <w14:schemeClr w14:val="tx1"/>
                  </w14:solidFill>
                </w14:textFill>
              </w:rPr>
            </w:pPr>
            <w:r>
              <w:rPr>
                <w:rStyle w:val="9"/>
                <w:rFonts w:ascii="Times New Roman" w:hAnsi="Times New Roman" w:cs="Times New Roman"/>
                <w:b w:val="0"/>
                <w:bCs/>
                <w:color w:val="000000" w:themeColor="text1"/>
                <w:sz w:val="21"/>
                <w:szCs w:val="21"/>
                <w14:textFill>
                  <w14:solidFill>
                    <w14:schemeClr w14:val="tx1"/>
                  </w14:solidFill>
                </w14:textFill>
              </w:rPr>
              <w:t>Unit 3 Shopping</w:t>
            </w:r>
          </w:p>
          <w:p>
            <w:pPr>
              <w:pStyle w:val="2"/>
              <w:spacing w:line="360" w:lineRule="auto"/>
              <w:jc w:val="center"/>
              <w:rPr>
                <w:rFonts w:ascii="Times New Roman" w:hAnsi="Times New Roman" w:cs="Times New Roman"/>
                <w:b w:val="0"/>
                <w:bCs/>
                <w:color w:val="000000" w:themeColor="text1"/>
                <w:sz w:val="21"/>
                <w:szCs w:val="21"/>
                <w14:textFill>
                  <w14:solidFill>
                    <w14:schemeClr w14:val="tx1"/>
                  </w14:solidFill>
                </w14:textFill>
              </w:rPr>
            </w:pPr>
            <w:r>
              <w:rPr>
                <w:rFonts w:ascii="Times New Roman" w:hAnsi="Times New Roman" w:cs="Times New Roman"/>
                <w:b w:val="0"/>
                <w:bCs/>
                <w:color w:val="000000" w:themeColor="text1"/>
                <w:sz w:val="21"/>
                <w:szCs w:val="21"/>
                <w14:textFill>
                  <w14:solidFill>
                    <w14:schemeClr w14:val="tx1"/>
                  </w14:solidFill>
                </w14:textFill>
              </w:rPr>
              <w:t>Language Practice</w:t>
            </w:r>
          </w:p>
          <w:tbl>
            <w:tblPr>
              <w:tblStyle w:val="4"/>
              <w:tblW w:w="7385" w:type="dxa"/>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55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07" w:type="dxa"/>
                  <w:gridSpan w:val="2"/>
                  <w:shd w:val="clear" w:color="auto" w:fill="E7E6E6" w:themeFill="background2"/>
                  <w:vAlign w:val="center"/>
                </w:tcPr>
                <w:p>
                  <w:pPr>
                    <w:snapToGrid w:val="0"/>
                    <w:jc w:val="center"/>
                    <w:rPr>
                      <w:rFonts w:ascii="Times New Roman" w:hAnsi="Times New Roman" w:cs="Times New Roman"/>
                      <w:b/>
                      <w:szCs w:val="21"/>
                    </w:rPr>
                  </w:pPr>
                  <w:r>
                    <w:rPr>
                      <w:rFonts w:hint="eastAsia" w:ascii="Times New Roman" w:hAnsi="Times New Roman" w:cs="Times New Roman"/>
                      <w:b/>
                      <w:szCs w:val="21"/>
                    </w:rPr>
                    <w:t>用法</w:t>
                  </w:r>
                </w:p>
              </w:tc>
              <w:tc>
                <w:tcPr>
                  <w:tcW w:w="4678" w:type="dxa"/>
                  <w:shd w:val="clear" w:color="auto" w:fill="E7E6E6" w:themeFill="background2"/>
                  <w:vAlign w:val="center"/>
                </w:tcPr>
                <w:p>
                  <w:pPr>
                    <w:snapToGrid w:val="0"/>
                    <w:jc w:val="center"/>
                    <w:rPr>
                      <w:rFonts w:ascii="Times New Roman" w:hAnsi="Times New Roman" w:cs="Times New Roman"/>
                      <w:b/>
                      <w:szCs w:val="21"/>
                    </w:rPr>
                  </w:pPr>
                  <w:r>
                    <w:rPr>
                      <w:rFonts w:hint="eastAsia" w:ascii="Times New Roman" w:hAnsi="Times New Roman" w:cs="Times New Roman"/>
                      <w:b/>
                      <w:szCs w:val="21"/>
                    </w:rPr>
                    <w:t>句型结构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pPr>
                    <w:spacing w:line="360" w:lineRule="exact"/>
                    <w:jc w:val="center"/>
                    <w:rPr>
                      <w:rFonts w:ascii="Times New Roman" w:hAnsi="Times New Roman" w:cs="Times New Roman"/>
                      <w:bCs/>
                      <w:szCs w:val="21"/>
                    </w:rPr>
                  </w:pPr>
                  <w:r>
                    <w:rPr>
                      <w:rFonts w:ascii="Times New Roman" w:hAnsi="Times New Roman" w:cs="Times New Roman"/>
                    </w:rPr>
                    <w:t>基本句型</w:t>
                  </w:r>
                </w:p>
              </w:tc>
              <w:tc>
                <w:tcPr>
                  <w:tcW w:w="1559" w:type="dxa"/>
                  <w:vAlign w:val="center"/>
                </w:tcPr>
                <w:p>
                  <w:pPr>
                    <w:snapToGrid w:val="0"/>
                    <w:jc w:val="center"/>
                    <w:rPr>
                      <w:rFonts w:ascii="Times New Roman" w:hAnsi="Times New Roman" w:cs="Times New Roman"/>
                      <w:bCs/>
                      <w:szCs w:val="21"/>
                    </w:rPr>
                  </w:pPr>
                  <w:r>
                    <w:rPr>
                      <w:rFonts w:ascii="Times New Roman" w:hAnsi="Times New Roman" w:cs="Times New Roman"/>
                    </w:rPr>
                    <w:t>比较级</w:t>
                  </w:r>
                </w:p>
              </w:tc>
              <w:tc>
                <w:tcPr>
                  <w:tcW w:w="4678" w:type="dxa"/>
                  <w:vAlign w:val="center"/>
                </w:tcPr>
                <w:p>
                  <w:pPr>
                    <w:snapToGrid w:val="0"/>
                    <w:spacing w:before="46" w:beforeLines="15" w:after="46" w:afterLines="15"/>
                    <w:rPr>
                      <w:rFonts w:ascii="Times New Roman" w:hAnsi="Times New Roman" w:cs="Times New Roman"/>
                      <w:bCs/>
                      <w:szCs w:val="21"/>
                    </w:rPr>
                  </w:pPr>
                  <w:r>
                    <w:rPr>
                      <w:rFonts w:ascii="Times New Roman" w:hAnsi="Times New Roman" w:cs="Times New Roman"/>
                    </w:rPr>
                    <w:t xml:space="preserve">A + 动词 + 比较级 + </w:t>
                  </w:r>
                  <w:r>
                    <w:rPr>
                      <w:rFonts w:ascii="Times New Roman" w:hAnsi="Times New Roman" w:cs="Times New Roman"/>
                      <w:b/>
                    </w:rPr>
                    <w:t>than</w:t>
                  </w:r>
                  <w:r>
                    <w:rPr>
                      <w:rFonts w:ascii="Times New Roman" w:hAnsi="Times New Roman" w:cs="Times New Roman"/>
                    </w:rPr>
                    <w:t xml:space="preserve"> +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pPr>
                    <w:spacing w:line="360" w:lineRule="exact"/>
                    <w:jc w:val="center"/>
                    <w:rPr>
                      <w:rFonts w:ascii="Times New Roman" w:hAnsi="Times New Roman" w:cs="Times New Roman"/>
                      <w:bCs/>
                      <w:szCs w:val="21"/>
                    </w:rPr>
                  </w:pPr>
                </w:p>
              </w:tc>
              <w:tc>
                <w:tcPr>
                  <w:tcW w:w="1559" w:type="dxa"/>
                  <w:vAlign w:val="center"/>
                </w:tcPr>
                <w:p>
                  <w:pPr>
                    <w:snapToGrid w:val="0"/>
                    <w:jc w:val="center"/>
                    <w:rPr>
                      <w:rFonts w:ascii="Times New Roman" w:hAnsi="Times New Roman" w:cs="Times New Roman"/>
                      <w:bCs/>
                      <w:szCs w:val="21"/>
                    </w:rPr>
                  </w:pPr>
                  <w:r>
                    <w:rPr>
                      <w:rFonts w:ascii="Times New Roman" w:hAnsi="Times New Roman" w:cs="Times New Roman"/>
                    </w:rPr>
                    <w:t>最高级</w:t>
                  </w:r>
                </w:p>
              </w:tc>
              <w:tc>
                <w:tcPr>
                  <w:tcW w:w="4678" w:type="dxa"/>
                  <w:vAlign w:val="center"/>
                </w:tcPr>
                <w:p>
                  <w:pPr>
                    <w:snapToGrid w:val="0"/>
                    <w:spacing w:before="46" w:beforeLines="15" w:after="46" w:afterLines="15"/>
                    <w:rPr>
                      <w:rFonts w:ascii="Times New Roman" w:hAnsi="Times New Roman" w:cs="Times New Roman"/>
                      <w:bCs/>
                      <w:szCs w:val="21"/>
                    </w:rPr>
                  </w:pPr>
                  <w:r>
                    <w:rPr>
                      <w:rFonts w:ascii="Times New Roman" w:hAnsi="Times New Roman" w:cs="Times New Roman"/>
                    </w:rPr>
                    <w:t>主语 + 动词 +（</w:t>
                  </w:r>
                  <w:r>
                    <w:rPr>
                      <w:rFonts w:ascii="Times New Roman" w:hAnsi="Times New Roman" w:cs="Times New Roman"/>
                      <w:b/>
                    </w:rPr>
                    <w:t>the</w:t>
                  </w:r>
                  <w:r>
                    <w:rPr>
                      <w:rFonts w:ascii="Times New Roman" w:hAnsi="Times New Roman" w:cs="Times New Roman"/>
                    </w:rPr>
                    <w:t xml:space="preserve">）+ 最高级 + </w:t>
                  </w:r>
                  <w:r>
                    <w:rPr>
                      <w:rFonts w:ascii="Times New Roman" w:hAnsi="Times New Roman" w:cs="Times New Roman"/>
                      <w:b/>
                    </w:rPr>
                    <w:t>of / in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pPr>
                    <w:spacing w:line="360" w:lineRule="exact"/>
                    <w:jc w:val="center"/>
                    <w:rPr>
                      <w:rFonts w:ascii="Times New Roman" w:hAnsi="Times New Roman" w:cs="Times New Roman"/>
                      <w:bCs/>
                      <w:szCs w:val="21"/>
                    </w:rPr>
                  </w:pPr>
                  <w:r>
                    <w:rPr>
                      <w:rFonts w:ascii="Times New Roman" w:hAnsi="Times New Roman" w:cs="Times New Roman"/>
                      <w:bCs/>
                      <w:szCs w:val="21"/>
                    </w:rPr>
                    <w:t>特殊用法</w:t>
                  </w:r>
                </w:p>
              </w:tc>
              <w:tc>
                <w:tcPr>
                  <w:tcW w:w="1559" w:type="dxa"/>
                  <w:vMerge w:val="restart"/>
                  <w:vAlign w:val="center"/>
                </w:tcPr>
                <w:p>
                  <w:pPr>
                    <w:snapToGrid w:val="0"/>
                    <w:jc w:val="center"/>
                    <w:rPr>
                      <w:rFonts w:ascii="Times New Roman" w:hAnsi="Times New Roman" w:cs="Times New Roman"/>
                      <w:bCs/>
                      <w:szCs w:val="21"/>
                    </w:rPr>
                  </w:pPr>
                  <w:r>
                    <w:rPr>
                      <w:rFonts w:ascii="Times New Roman" w:hAnsi="Times New Roman" w:cs="Times New Roman"/>
                    </w:rPr>
                    <w:t>越来越……</w:t>
                  </w:r>
                </w:p>
              </w:tc>
              <w:tc>
                <w:tcPr>
                  <w:tcW w:w="4678" w:type="dxa"/>
                  <w:vAlign w:val="center"/>
                </w:tcPr>
                <w:p>
                  <w:pPr>
                    <w:snapToGrid w:val="0"/>
                    <w:spacing w:before="46" w:beforeLines="15" w:after="46" w:afterLines="15"/>
                    <w:rPr>
                      <w:rFonts w:ascii="Times New Roman" w:hAnsi="Times New Roman" w:cs="Times New Roman"/>
                      <w:bCs/>
                      <w:szCs w:val="21"/>
                    </w:rPr>
                  </w:pPr>
                  <w:r>
                    <w:rPr>
                      <w:rFonts w:ascii="Times New Roman" w:hAnsi="Times New Roman" w:cs="Times New Roman"/>
                    </w:rPr>
                    <w:t xml:space="preserve">比较级 + </w:t>
                  </w:r>
                  <w:r>
                    <w:rPr>
                      <w:rFonts w:ascii="Times New Roman" w:hAnsi="Times New Roman" w:cs="Times New Roman"/>
                      <w:b/>
                    </w:rPr>
                    <w:t>and</w:t>
                  </w:r>
                  <w:r>
                    <w:rPr>
                      <w:rFonts w:ascii="Times New Roman" w:hAnsi="Times New Roman" w:cs="Times New Roman"/>
                    </w:rPr>
                    <w:t xml:space="preserve"> + 比较级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pPr>
                    <w:spacing w:line="360" w:lineRule="exact"/>
                    <w:jc w:val="center"/>
                    <w:rPr>
                      <w:rFonts w:ascii="Times New Roman" w:hAnsi="Times New Roman" w:cs="Times New Roman"/>
                      <w:bCs/>
                      <w:szCs w:val="21"/>
                    </w:rPr>
                  </w:pPr>
                </w:p>
              </w:tc>
              <w:tc>
                <w:tcPr>
                  <w:tcW w:w="1559" w:type="dxa"/>
                  <w:vMerge w:val="continue"/>
                  <w:vAlign w:val="center"/>
                </w:tcPr>
                <w:p>
                  <w:pPr>
                    <w:snapToGrid w:val="0"/>
                    <w:jc w:val="center"/>
                    <w:rPr>
                      <w:rFonts w:ascii="Times New Roman" w:hAnsi="Times New Roman" w:cs="Times New Roman"/>
                      <w:bCs/>
                      <w:szCs w:val="21"/>
                    </w:rPr>
                  </w:pPr>
                </w:p>
              </w:tc>
              <w:tc>
                <w:tcPr>
                  <w:tcW w:w="4678" w:type="dxa"/>
                  <w:vAlign w:val="center"/>
                </w:tcPr>
                <w:p>
                  <w:pPr>
                    <w:snapToGrid w:val="0"/>
                    <w:spacing w:before="46" w:beforeLines="15" w:after="46" w:afterLines="15"/>
                    <w:rPr>
                      <w:rFonts w:ascii="Times New Roman" w:hAnsi="Times New Roman" w:cs="Times New Roman"/>
                      <w:bCs/>
                      <w:szCs w:val="21"/>
                    </w:rPr>
                  </w:pPr>
                  <w:r>
                    <w:rPr>
                      <w:rFonts w:ascii="Times New Roman" w:hAnsi="Times New Roman" w:cs="Times New Roman"/>
                      <w:b/>
                    </w:rPr>
                    <w:t>more and more</w:t>
                  </w:r>
                  <w:r>
                    <w:rPr>
                      <w:rFonts w:ascii="Times New Roman" w:hAnsi="Times New Roman" w:cs="Times New Roman"/>
                    </w:rPr>
                    <w:t xml:space="preserve"> + 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pPr>
                    <w:spacing w:line="360" w:lineRule="exact"/>
                    <w:jc w:val="center"/>
                    <w:rPr>
                      <w:rFonts w:ascii="Times New Roman" w:hAnsi="Times New Roman" w:cs="Times New Roman"/>
                      <w:bCs/>
                      <w:szCs w:val="21"/>
                    </w:rPr>
                  </w:pPr>
                </w:p>
              </w:tc>
              <w:tc>
                <w:tcPr>
                  <w:tcW w:w="1559" w:type="dxa"/>
                  <w:vAlign w:val="center"/>
                </w:tcPr>
                <w:p>
                  <w:pPr>
                    <w:snapToGrid w:val="0"/>
                    <w:jc w:val="center"/>
                    <w:rPr>
                      <w:rFonts w:ascii="Times New Roman" w:hAnsi="Times New Roman" w:cs="Times New Roman"/>
                      <w:bCs/>
                      <w:szCs w:val="21"/>
                    </w:rPr>
                  </w:pPr>
                  <w:r>
                    <w:rPr>
                      <w:rFonts w:ascii="Times New Roman" w:hAnsi="Times New Roman" w:cs="Times New Roman"/>
                    </w:rPr>
                    <w:t>越……越……</w:t>
                  </w:r>
                </w:p>
              </w:tc>
              <w:tc>
                <w:tcPr>
                  <w:tcW w:w="4678" w:type="dxa"/>
                  <w:vAlign w:val="center"/>
                </w:tcPr>
                <w:p>
                  <w:pPr>
                    <w:snapToGrid w:val="0"/>
                    <w:spacing w:before="46" w:beforeLines="15" w:after="46" w:afterLines="15"/>
                    <w:rPr>
                      <w:rFonts w:ascii="Times New Roman" w:hAnsi="Times New Roman" w:cs="Times New Roman"/>
                      <w:bCs/>
                      <w:szCs w:val="21"/>
                    </w:rPr>
                  </w:pPr>
                  <w:r>
                    <w:rPr>
                      <w:rFonts w:ascii="Times New Roman" w:hAnsi="Times New Roman" w:cs="Times New Roman"/>
                      <w:b/>
                    </w:rPr>
                    <w:t>the</w:t>
                  </w:r>
                  <w:r>
                    <w:rPr>
                      <w:rFonts w:ascii="Times New Roman" w:hAnsi="Times New Roman" w:cs="Times New Roman"/>
                    </w:rPr>
                    <w:t xml:space="preserve"> + 比较级</w:t>
                  </w:r>
                  <w:r>
                    <w:rPr>
                      <w:rFonts w:ascii="Times New Roman" w:hAnsi="Times New Roman" w:cs="Times New Roman"/>
                      <w:b/>
                    </w:rPr>
                    <w:t>，the</w:t>
                  </w:r>
                  <w:r>
                    <w:rPr>
                      <w:rFonts w:ascii="Times New Roman" w:hAnsi="Times New Roman" w:cs="Times New Roman"/>
                    </w:rPr>
                    <w:t xml:space="preserve"> + 比较级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pPr>
                    <w:spacing w:line="360" w:lineRule="exact"/>
                    <w:jc w:val="center"/>
                    <w:rPr>
                      <w:rFonts w:ascii="Times New Roman" w:hAnsi="Times New Roman" w:cs="Times New Roman"/>
                      <w:bCs/>
                      <w:szCs w:val="21"/>
                    </w:rPr>
                  </w:pPr>
                </w:p>
              </w:tc>
              <w:tc>
                <w:tcPr>
                  <w:tcW w:w="1559" w:type="dxa"/>
                  <w:vMerge w:val="restart"/>
                  <w:vAlign w:val="center"/>
                </w:tcPr>
                <w:p>
                  <w:pPr>
                    <w:snapToGrid w:val="0"/>
                    <w:jc w:val="center"/>
                    <w:rPr>
                      <w:rFonts w:ascii="Times New Roman" w:hAnsi="Times New Roman" w:cs="Times New Roman"/>
                      <w:bCs/>
                      <w:szCs w:val="21"/>
                    </w:rPr>
                  </w:pPr>
                  <w:r>
                    <w:rPr>
                      <w:rFonts w:ascii="Times New Roman" w:hAnsi="Times New Roman" w:cs="Times New Roman"/>
                    </w:rPr>
                    <w:t>倍数</w:t>
                  </w:r>
                </w:p>
              </w:tc>
              <w:tc>
                <w:tcPr>
                  <w:tcW w:w="4678" w:type="dxa"/>
                  <w:vAlign w:val="center"/>
                </w:tcPr>
                <w:p>
                  <w:pPr>
                    <w:snapToGrid w:val="0"/>
                    <w:spacing w:before="46" w:beforeLines="15" w:after="46" w:afterLines="15"/>
                    <w:rPr>
                      <w:rFonts w:ascii="Times New Roman" w:hAnsi="Times New Roman" w:cs="Times New Roman"/>
                      <w:bCs/>
                      <w:szCs w:val="21"/>
                    </w:rPr>
                  </w:pPr>
                  <w:r>
                    <w:rPr>
                      <w:rFonts w:ascii="Times New Roman" w:hAnsi="Times New Roman" w:cs="Times New Roman"/>
                    </w:rPr>
                    <w:t xml:space="preserve">A is … times </w:t>
                  </w:r>
                  <w:r>
                    <w:rPr>
                      <w:rFonts w:ascii="Times New Roman" w:hAnsi="Times New Roman" w:cs="Times New Roman"/>
                      <w:b/>
                    </w:rPr>
                    <w:t>the</w:t>
                  </w:r>
                  <w:r>
                    <w:rPr>
                      <w:rFonts w:ascii="Times New Roman" w:hAnsi="Times New Roman" w:cs="Times New Roman"/>
                    </w:rPr>
                    <w:t xml:space="preserve"> size / height / length / width </w:t>
                  </w:r>
                  <w:r>
                    <w:rPr>
                      <w:rFonts w:ascii="Times New Roman" w:hAnsi="Times New Roman" w:cs="Times New Roman"/>
                      <w:b/>
                    </w:rPr>
                    <w:t>of</w:t>
                  </w:r>
                  <w:r>
                    <w:rPr>
                      <w:rFonts w:ascii="Times New Roman" w:hAnsi="Times New Roman" w:cs="Times New Roma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Pr>
                <w:p>
                  <w:pPr>
                    <w:spacing w:line="360" w:lineRule="exact"/>
                    <w:rPr>
                      <w:rFonts w:ascii="Times New Roman" w:hAnsi="Times New Roman" w:cs="Times New Roman"/>
                    </w:rPr>
                  </w:pPr>
                </w:p>
              </w:tc>
              <w:tc>
                <w:tcPr>
                  <w:tcW w:w="1559" w:type="dxa"/>
                  <w:vMerge w:val="continue"/>
                </w:tcPr>
                <w:p>
                  <w:pPr>
                    <w:snapToGrid w:val="0"/>
                    <w:rPr>
                      <w:rFonts w:ascii="Times New Roman" w:hAnsi="Times New Roman" w:cs="Times New Roman"/>
                      <w:bCs/>
                      <w:szCs w:val="21"/>
                    </w:rPr>
                  </w:pPr>
                </w:p>
              </w:tc>
              <w:tc>
                <w:tcPr>
                  <w:tcW w:w="4678" w:type="dxa"/>
                  <w:vAlign w:val="center"/>
                </w:tcPr>
                <w:p>
                  <w:pPr>
                    <w:snapToGrid w:val="0"/>
                    <w:spacing w:before="46" w:beforeLines="15" w:after="46" w:afterLines="15"/>
                    <w:rPr>
                      <w:rFonts w:ascii="Times New Roman" w:hAnsi="Times New Roman" w:cs="Times New Roman"/>
                    </w:rPr>
                  </w:pPr>
                  <w:r>
                    <w:rPr>
                      <w:rFonts w:ascii="Times New Roman" w:hAnsi="Times New Roman" w:cs="Times New Roman"/>
                    </w:rPr>
                    <w:t xml:space="preserve">A is … times </w:t>
                  </w:r>
                  <w:r>
                    <w:rPr>
                      <w:rFonts w:ascii="Times New Roman" w:hAnsi="Times New Roman" w:cs="Times New Roman"/>
                      <w:b/>
                    </w:rPr>
                    <w:t>as</w:t>
                  </w:r>
                  <w:r>
                    <w:rPr>
                      <w:rFonts w:ascii="Times New Roman" w:hAnsi="Times New Roman" w:cs="Times New Roman"/>
                    </w:rPr>
                    <w:t xml:space="preserve"> big / high / long / wide / large </w:t>
                  </w:r>
                  <w:r>
                    <w:rPr>
                      <w:rFonts w:ascii="Times New Roman" w:hAnsi="Times New Roman" w:cs="Times New Roman"/>
                      <w:b/>
                    </w:rPr>
                    <w:t>as</w:t>
                  </w:r>
                  <w:r>
                    <w:rPr>
                      <w:rFonts w:ascii="Times New Roman" w:hAnsi="Times New Roman" w:cs="Times New Roma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Pr>
                <w:p>
                  <w:pPr>
                    <w:spacing w:line="360" w:lineRule="exact"/>
                    <w:rPr>
                      <w:rFonts w:ascii="Times New Roman" w:hAnsi="Times New Roman" w:cs="Times New Roman"/>
                    </w:rPr>
                  </w:pPr>
                </w:p>
              </w:tc>
              <w:tc>
                <w:tcPr>
                  <w:tcW w:w="1559" w:type="dxa"/>
                  <w:vMerge w:val="continue"/>
                </w:tcPr>
                <w:p>
                  <w:pPr>
                    <w:snapToGrid w:val="0"/>
                    <w:rPr>
                      <w:rFonts w:ascii="Times New Roman" w:hAnsi="Times New Roman" w:cs="Times New Roman"/>
                      <w:bCs/>
                      <w:szCs w:val="21"/>
                    </w:rPr>
                  </w:pPr>
                </w:p>
              </w:tc>
              <w:tc>
                <w:tcPr>
                  <w:tcW w:w="4678" w:type="dxa"/>
                  <w:vAlign w:val="center"/>
                </w:tcPr>
                <w:p>
                  <w:pPr>
                    <w:snapToGrid w:val="0"/>
                    <w:spacing w:before="46" w:beforeLines="15" w:after="46" w:afterLines="15"/>
                    <w:rPr>
                      <w:rFonts w:ascii="Times New Roman" w:hAnsi="Times New Roman" w:cs="Times New Roman"/>
                    </w:rPr>
                  </w:pPr>
                  <w:r>
                    <w:rPr>
                      <w:rFonts w:ascii="Times New Roman" w:hAnsi="Times New Roman" w:cs="Times New Roman"/>
                    </w:rPr>
                    <w:t xml:space="preserve">A is … times larger / higher / longer / wider </w:t>
                  </w:r>
                  <w:r>
                    <w:rPr>
                      <w:rFonts w:ascii="Times New Roman" w:hAnsi="Times New Roman" w:cs="Times New Roman"/>
                      <w:b/>
                    </w:rPr>
                    <w:t>than</w:t>
                  </w:r>
                  <w:r>
                    <w:rPr>
                      <w:rFonts w:ascii="Times New Roman" w:hAnsi="Times New Roman" w:cs="Times New Roman"/>
                    </w:rPr>
                    <w:t xml:space="preserve"> B</w:t>
                  </w:r>
                </w:p>
              </w:tc>
            </w:tr>
          </w:tbl>
          <w:p>
            <w:pPr>
              <w:pStyle w:val="2"/>
              <w:spacing w:line="360" w:lineRule="auto"/>
              <w:jc w:val="both"/>
              <w:rPr>
                <w:rFonts w:ascii="Times New Roman" w:hAnsi="Times New Roman" w:cs="Times New Roman"/>
                <w:b w:val="0"/>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000000"/>
    <w:rsid w:val="0B7B7DE4"/>
    <w:rsid w:val="222E1FA2"/>
    <w:rsid w:val="24880AFD"/>
    <w:rsid w:val="26D56143"/>
    <w:rsid w:val="3DB249C8"/>
    <w:rsid w:val="433517D1"/>
    <w:rsid w:val="49357228"/>
    <w:rsid w:val="4E462DF8"/>
    <w:rsid w:val="51F62284"/>
    <w:rsid w:val="69FD6414"/>
    <w:rsid w:val="6ADD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
    <w:name w:val="Light List"/>
    <w:basedOn w:val="3"/>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CCE8C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7">
    <w:name w:val="annotation reference"/>
    <w:basedOn w:val="6"/>
    <w:semiHidden/>
    <w:unhideWhenUsed/>
    <w:qFormat/>
    <w:uiPriority w:val="99"/>
    <w:rPr>
      <w:sz w:val="21"/>
      <w:szCs w:val="21"/>
    </w:rPr>
  </w:style>
  <w:style w:type="character" w:customStyle="1" w:styleId="8">
    <w:name w:val="fontstyle21"/>
    <w:basedOn w:val="6"/>
    <w:qFormat/>
    <w:uiPriority w:val="0"/>
    <w:rPr>
      <w:rFonts w:hint="default" w:ascii="FZBYFKSK--GBK1-0" w:hAnsi="FZBYFKSK--GBK1-0"/>
      <w:color w:val="231F20"/>
      <w:sz w:val="24"/>
      <w:szCs w:val="24"/>
    </w:rPr>
  </w:style>
  <w:style w:type="character" w:customStyle="1" w:styleId="9">
    <w:name w:val="fontstyle01"/>
    <w:basedOn w:val="6"/>
    <w:qFormat/>
    <w:uiPriority w:val="0"/>
    <w:rPr>
      <w:rFonts w:hint="default" w:ascii="FZBYFKSK--GBK1-0" w:hAnsi="FZBYFKSK--GBK1-0"/>
      <w:color w:val="231F2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2023-10-08T02:48:49Z</dcterms:created>
  <dc:creator>Administrator</dc:creator>
  <cp:lastModifiedBy>WPS_1647951239</cp:lastModifiedBy>
  <dcterms:modified xsi:type="dcterms:W3CDTF">2023-10-08T02:56:08Z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3B89D50546B94322B18BE9A30318E6FF_13</vt:lpwstr>
  </property>
</Properties>
</file>