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</w:t>
      </w:r>
    </w:p>
    <w:p/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第二节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车轮制动器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60" w:beforeLines="25"/>
              <w:ind w:left="318" w:leftChars="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车轮制动器的种类、组成及制动。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车轮制动器间隙的调整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车轮制动器受力的分析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多媒体、图片、视频、实物展示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20" w:beforeLines="50" w:line="300" w:lineRule="auto"/>
              <w:jc w:val="left"/>
            </w:pPr>
            <w:r>
              <w:rPr>
                <w:rFonts w:hint="eastAsia"/>
              </w:rPr>
              <w:t>结合图片，启发讲解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一、鼓式车轮制动器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1.</w:t>
            </w:r>
            <w:r>
              <w:rPr>
                <w:rFonts w:hint="eastAsia" w:ascii="宋体" w:hAnsi="宋体"/>
                <w:szCs w:val="21"/>
                <w:lang w:val="en-US"/>
              </w:rPr>
              <w:t>鼓式车轮制动器的结构与工作过程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根据制动时两制动蹄对制动鼓径向力的平衡状况，鼓式车轮制动器又分为非平衡式、平衡式</w:t>
            </w:r>
            <w:r>
              <w:rPr>
                <w:rFonts w:ascii="宋体" w:hAnsi="宋体"/>
                <w:szCs w:val="21"/>
                <w:lang w:val="en-US"/>
              </w:rPr>
              <w:t>(</w:t>
            </w:r>
            <w:r>
              <w:rPr>
                <w:rFonts w:hint="eastAsia" w:ascii="宋体" w:hAnsi="宋体"/>
                <w:szCs w:val="21"/>
                <w:lang w:val="en-US"/>
              </w:rPr>
              <w:t>单向助势、双向助势</w:t>
            </w:r>
            <w:r>
              <w:rPr>
                <w:rFonts w:ascii="宋体" w:hAnsi="宋体"/>
                <w:szCs w:val="21"/>
                <w:lang w:val="en-US"/>
              </w:rPr>
              <w:t>)</w:t>
            </w:r>
            <w:r>
              <w:rPr>
                <w:rFonts w:hint="eastAsia" w:ascii="宋体" w:hAnsi="宋体"/>
                <w:szCs w:val="21"/>
                <w:lang w:val="en-US"/>
              </w:rPr>
              <w:t>和自动增力式三种。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非平衡式车轮制动器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①基本结构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②工作过程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(2)</w:t>
            </w:r>
            <w:r>
              <w:rPr>
                <w:rFonts w:hint="eastAsia" w:ascii="宋体" w:hAnsi="宋体"/>
                <w:szCs w:val="21"/>
                <w:lang w:val="en-US"/>
              </w:rPr>
              <w:t>平衡式车轮制动器</w:t>
            </w:r>
            <w:r>
              <w:rPr>
                <w:rFonts w:ascii="宋体" w:hAnsi="宋体"/>
                <w:szCs w:val="21"/>
                <w:lang w:val="en-US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①单向助势平衡式车轮制动器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②双向助势平衡式车轮制动器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(3)</w:t>
            </w:r>
            <w:r>
              <w:rPr>
                <w:rFonts w:hint="eastAsia" w:ascii="宋体" w:hAnsi="宋体"/>
                <w:szCs w:val="21"/>
                <w:lang w:val="en-US"/>
              </w:rPr>
              <w:t>自动增力式制动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①单向自动增力式制动器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2.</w:t>
            </w:r>
            <w:r>
              <w:rPr>
                <w:rFonts w:hint="eastAsia" w:ascii="宋体" w:hAnsi="宋体"/>
                <w:szCs w:val="21"/>
                <w:lang w:val="en-US"/>
              </w:rPr>
              <w:t>鼓式车轮制动器的检修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鼓式车轮制动器拆装要点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(2)</w:t>
            </w:r>
            <w:r>
              <w:rPr>
                <w:rFonts w:hint="eastAsia" w:ascii="宋体" w:hAnsi="宋体"/>
                <w:szCs w:val="21"/>
                <w:lang w:val="en-US"/>
              </w:rPr>
              <w:t>鼓式车轮制动器检修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①制动鼓的检修</w:t>
            </w:r>
            <w:r>
              <w:rPr>
                <w:rFonts w:ascii="宋体" w:hAnsi="宋体"/>
                <w:szCs w:val="21"/>
                <w:lang w:val="en-US"/>
              </w:rPr>
              <w:t xml:space="preserve">  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②制动蹄及摩擦片的检修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(3)</w:t>
            </w:r>
            <w:r>
              <w:rPr>
                <w:rFonts w:hint="eastAsia" w:ascii="宋体" w:hAnsi="宋体"/>
                <w:szCs w:val="21"/>
                <w:lang w:val="en-US"/>
              </w:rPr>
              <w:t>鼓式车轮制动器的调整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①车轮制动器的局部调整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②车轮制动器的全面调整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③鼓式制动器制动间隙的自动调整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二、盘式车轮制动器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1.</w:t>
            </w:r>
            <w:r>
              <w:rPr>
                <w:rFonts w:hint="eastAsia" w:ascii="宋体" w:hAnsi="宋体"/>
                <w:szCs w:val="21"/>
                <w:lang w:val="en-US"/>
              </w:rPr>
              <w:t>钳盘式车轮制动器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 xml:space="preserve"> (1)</w:t>
            </w:r>
            <w:r>
              <w:rPr>
                <w:rFonts w:hint="eastAsia" w:ascii="宋体" w:hAnsi="宋体"/>
                <w:szCs w:val="21"/>
                <w:lang w:val="en-US"/>
              </w:rPr>
              <w:t>浮动夹钳式车轮制动器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/>
              </w:rPr>
              <w:t>(</w:t>
            </w:r>
            <w:r>
              <w:rPr>
                <w:rFonts w:ascii="宋体" w:hAnsi="宋体"/>
                <w:szCs w:val="21"/>
                <w:lang w:val="en-US"/>
              </w:rPr>
              <w:t>2</w:t>
            </w:r>
            <w:r>
              <w:rPr>
                <w:rFonts w:hint="eastAsia" w:ascii="宋体" w:hAnsi="宋体"/>
                <w:szCs w:val="21"/>
                <w:lang w:val="en-US"/>
              </w:rPr>
              <w:t>)全盘式车轮制动器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2</w:t>
            </w:r>
            <w:r>
              <w:rPr>
                <w:rFonts w:ascii="宋体" w:hAnsi="宋体"/>
                <w:szCs w:val="21"/>
                <w:lang w:val="en-US"/>
              </w:rPr>
              <w:t>.</w:t>
            </w:r>
            <w:r>
              <w:rPr>
                <w:rFonts w:hint="eastAsia" w:ascii="宋体" w:hAnsi="宋体"/>
                <w:szCs w:val="21"/>
                <w:lang w:val="en-US"/>
              </w:rPr>
              <w:t>盘式车轮制动器检修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3</w:t>
            </w:r>
            <w:r>
              <w:rPr>
                <w:rFonts w:ascii="宋体" w:hAnsi="宋体"/>
                <w:szCs w:val="21"/>
                <w:lang w:val="en-US"/>
              </w:rPr>
              <w:t>.</w:t>
            </w:r>
            <w:r>
              <w:rPr>
                <w:rFonts w:hint="eastAsia" w:ascii="宋体" w:hAnsi="宋体"/>
                <w:szCs w:val="21"/>
                <w:lang w:val="en-US"/>
              </w:rPr>
              <w:t>盘式制动器制动间隙的自动调整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启发</w:t>
            </w:r>
            <w:r>
              <w:rPr>
                <w:rFonts w:hint="eastAsia"/>
                <w:sz w:val="24"/>
              </w:rPr>
              <w:t>法对比法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针对学生练习过程中出现的问题，及时解答。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车轮制动器受力的分析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车轮制动器受力的分析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车轮制动器间隙的调整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本节课采用启发讲授与自主学习相结合、讲授与实训相结合的方式进行，教学效果较好。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ODMzY2M1M2QxNThhMzk1ODdmOGU4MTVlZTJjZDQifQ=="/>
  </w:docVars>
  <w:rsids>
    <w:rsidRoot w:val="00000000"/>
    <w:rsid w:val="5C7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2023-10-08T12:06:53Z</dcterms:created>
  <dc:creator>admin</dc:creator>
  <cp:lastModifiedBy>admin</cp:lastModifiedBy>
  <dcterms:modified xsi:type="dcterms:W3CDTF">2023-10-08T12:06:59Z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AC867DF10D17428BBE2C62FB196B44C9_12</vt:lpwstr>
  </property>
</Properties>
</file>