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2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</w:pPr>
            <w:bookmarkStart w:id="0" w:name="_GoBack"/>
            <w:bookmarkEnd w:id="0"/>
            <w:r>
              <w:rPr>
                <w:rFonts w:hint="eastAsia" w:eastAsia="黑体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sz w:val="28"/>
                <w:szCs w:val="28"/>
                <w:lang w:val="en-US" w:eastAsia="zh-CN"/>
              </w:rPr>
              <w:t>一元二次不等式习题课1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1．熟练掌握一元二次等式的解法；</w:t>
            </w:r>
          </w:p>
          <w:p>
            <w:pPr>
              <w:jc w:val="both"/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  2. 能熟练求解与一元二次不等式有关的恒成立问题；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一元二次不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等式的解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一元二次不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等式的解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复习导入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一元二次函数的基本形式：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一元二次方程的解法：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一元二次方程与一元二次不等式的关系</w:t>
            </w:r>
          </w:p>
          <w:p>
            <w:pPr>
              <w:rPr>
                <w:rFonts w:hint="eastAsia" w:ascii="Arial" w:hAnsi="Arial" w:cs="Arial"/>
                <w:color w:val="333333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auto"/>
              <w:ind w:firstLine="482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二、ax2+bx+c&gt;0 (≥0 )或ax2+bx+c&lt;0(≤0)的不等式(a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sym w:font="Symbol" w:char="F0B9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0)的解法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观察a是否大于0，若大于0，则保持不变，若小于0，则两边同时乘以-1；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确定对应方程ax2+bx+c=0的解；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画出对应函数y=ax2+bx+c的图像；</w:t>
            </w:r>
          </w:p>
          <w:p>
            <w:pPr>
              <w:numPr>
                <w:ilvl w:val="0"/>
                <w:numId w:val="3"/>
              </w:numPr>
              <w:ind w:left="0" w:leftChars="0"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由图像得出不等式的解集。</w: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三、例题讲解</w:t>
            </w:r>
          </w:p>
          <w:p>
            <w:pPr>
              <w:numPr>
                <w:ilvl w:val="0"/>
                <w:numId w:val="0"/>
              </w:numPr>
              <w:ind w:leftChars="200"/>
            </w:pPr>
            <w:r>
              <w:object>
                <v:shape id="_x0000_i1025" o:spt="75" type="#_x0000_t75" style="height:73.7pt;width:291.8pt;" o:ole="t" filled="f" o:preferrelative="t" stroked="f" coordsize="21600,21600">
                  <v:path/>
                  <v:fill on="f" focussize="0,0"/>
                  <v:stroke on="f" weight="3pt"/>
                  <v:imagedata r:id="rId5" o:title=""/>
                  <o:lock v:ext="edit" aspectratio="f"/>
                  <w10:wrap type="none"/>
                  <w10:anchorlock/>
                </v:shape>
                <o:OLEObject Type="Embed" ProgID="Word.Document.12" ShapeID="_x0000_i1025" DrawAspect="Content" ObjectID="_1468075725" r:id="rId4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ind w:leftChars="200"/>
            </w:pPr>
            <w:r>
              <w:object>
                <v:shape id="_x0000_i1026" o:spt="75" type="#_x0000_t75" style="height:95.4pt;width:435pt;" o:ole="t" filled="f" o:preferrelative="t" stroked="f" coordsize="21600,21600">
                  <v:path/>
                  <v:fill on="f" focussize="0,0"/>
                  <v:stroke on="f" weight="3pt"/>
                  <v:imagedata r:id="rId7" o:title=""/>
                  <o:lock v:ext="edit" aspectratio="f"/>
                  <w10:wrap type="none"/>
                  <w10:anchorlock/>
                </v:shape>
                <o:OLEObject Type="Embed" ProgID="Word.Document.12" ShapeID="_x0000_i1026" DrawAspect="Content" ObjectID="_1468075726" r:id="rId6">
                  <o:LockedField>false</o:LockedField>
                </o:OLEObject>
              </w:object>
            </w:r>
            <w:r>
              <w:object>
                <v:shape id="_x0000_i1027" o:spt="75" type="#_x0000_t75" style="height:133pt;width:320.7pt;" o:ole="t" filled="f" o:preferrelative="t" stroked="f" coordsize="21600,21600">
                  <v:path/>
                  <v:fill on="f" focussize="0,0"/>
                  <v:stroke on="f" weight="3pt"/>
                  <v:imagedata r:id="rId9" o:title=""/>
                  <o:lock v:ext="edit" aspectratio="f"/>
                  <w10:wrap type="none"/>
                  <w10:anchorlock/>
                </v:shape>
                <o:OLEObject Type="Embed" ProgID="Word.Document.12" ShapeID="_x0000_i1027" DrawAspect="Content" ObjectID="_1468075727" r:id="rId8">
                  <o:LockedField>false</o:LockedField>
                </o:OLEObject>
              </w:object>
            </w:r>
            <w:r>
              <w:object>
                <v:shape id="_x0000_i1028" o:spt="75" type="#_x0000_t75" style="height:125.05pt;width:291.9pt;" o:ole="t" filled="f" o:preferrelative="t" stroked="f" coordsize="21600,21600">
                  <v:path/>
                  <v:fill on="f" focussize="0,0"/>
                  <v:stroke on="f" weight="2.25pt" joinstyle="miter"/>
                  <v:imagedata r:id="rId11" o:title=""/>
                  <o:lock v:ext="edit" aspectratio="f"/>
                  <w10:wrap type="none"/>
                  <w10:anchorlock/>
                </v:shape>
                <o:OLEObject Type="Embed" ProgID="Word.Document.8" ShapeID="_x0000_i1028" DrawAspect="Content" ObjectID="_1468075728" r:id="rId10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 w:eastAsia="宋体"/>
                <w:lang w:eastAsia="zh-CN"/>
              </w:rPr>
            </w:pPr>
            <w:r>
              <w:object>
                <v:shape id="_x0000_i1029" o:spt="75" type="#_x0000_t75" style="height:49.55pt;width:295.15pt;" o:ole="t" filled="f" o:preferrelative="t" stroked="f" coordsize="21600,21600">
                  <v:path/>
                  <v:fill on="f" focussize="0,0"/>
                  <v:stroke on="f" weight="3pt"/>
                  <v:imagedata r:id="rId13" o:title=""/>
                  <o:lock v:ext="edit" aspectratio="f"/>
                  <w10:wrap type="none"/>
                  <w10:anchorlock/>
                </v:shape>
                <o:OLEObject Type="Embed" ProgID="Word.Document.12" ShapeID="_x0000_i1029" DrawAspect="Content" ObjectID="_1468075729" r:id="rId12">
                  <o:LockedField>false</o:LockedField>
                </o:OLEObject>
              </w:object>
            </w:r>
            <w:r>
              <w:object>
                <v:shape id="_x0000_i1030" o:spt="75" type="#_x0000_t75" style="height:32.35pt;width:316.9pt;" o:ole="t" filled="f" o:preferrelative="t" stroked="f" coordsize="21600,21600">
                  <v:path/>
                  <v:fill on="f" focussize="0,0"/>
                  <v:stroke on="f" weight="3pt"/>
                  <v:imagedata r:id="rId15" o:title=""/>
                  <o:lock v:ext="edit" aspectratio="f"/>
                  <w10:wrap type="none"/>
                  <w10:anchorlock/>
                </v:shape>
                <o:OLEObject Type="Embed" ProgID="Word.Document.12" ShapeID="_x0000_i1030" DrawAspect="Content" ObjectID="_1468075730" r:id="rId14">
                  <o:LockedField>false</o:LockedField>
                </o:OLEObject>
              </w:object>
            </w:r>
            <w:r>
              <w:object>
                <v:shape id="_x0000_i1031" o:spt="75" type="#_x0000_t75" style="height:176.8pt;width:301.6pt;" o:ole="t" filled="f" o:preferrelative="t" stroked="f" coordsize="21600,21600">
                  <v:path/>
                  <v:fill on="f" focussize="0,0"/>
                  <v:stroke on="f" weight="3pt"/>
                  <v:imagedata r:id="rId17" o:title=""/>
                  <o:lock v:ext="edit" aspectratio="f"/>
                  <w10:wrap type="none"/>
                  <w10:anchorlock/>
                </v:shape>
                <o:OLEObject Type="Embed" ProgID="Word.Document.12" ShapeID="_x0000_i1031" DrawAspect="Content" ObjectID="_1468075731" r:id="rId16">
                  <o:LockedField>false</o:LockedField>
                </o:OLEObject>
              </w:object>
            </w:r>
            <w:r>
              <w:object>
                <v:shape id="_x0000_i1032" o:spt="75" type="#_x0000_t75" style="height:151.35pt;width:293.3pt;" o:ole="t" filled="f" o:preferrelative="t" stroked="f" coordsize="21600,21600">
                  <v:path/>
                  <v:fill on="f" focussize="0,0"/>
                  <v:stroke on="f" weight="3pt"/>
                  <v:imagedata r:id="rId19" o:title=""/>
                  <o:lock v:ext="edit" aspectratio="f"/>
                  <w10:wrap type="none"/>
                  <w10:anchorlock/>
                </v:shape>
                <o:OLEObject Type="Embed" ProgID="Word.Document.12" ShapeID="_x0000_i1032" DrawAspect="Content" ObjectID="_1468075732" r:id="rId18">
                  <o:LockedField>false</o:LockedField>
                </o:OLEObject>
              </w:objec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四、课堂检测</w:t>
            </w:r>
          </w:p>
          <w:p>
            <w:pPr>
              <w:numPr>
                <w:ilvl w:val="0"/>
                <w:numId w:val="0"/>
              </w:numPr>
              <w:ind w:leftChars="200"/>
            </w:pPr>
          </w:p>
          <w:p>
            <w:pPr>
              <w:numPr>
                <w:ilvl w:val="0"/>
                <w:numId w:val="0"/>
              </w:numPr>
              <w:ind w:leftChars="200"/>
            </w:pPr>
            <w:r>
              <w:object>
                <v:shape id="_x0000_i1033" o:spt="75" type="#_x0000_t75" style="height:174.75pt;width:302.2pt;" o:ole="t" filled="f" o:preferrelative="t" stroked="f" coordsize="21600,21600">
                  <v:path/>
                  <v:fill on="f" focussize="0,0"/>
                  <v:stroke on="f" weight="3pt"/>
                  <v:imagedata r:id="rId21" o:title=""/>
                  <o:lock v:ext="edit" aspectratio="f"/>
                  <w10:wrap type="none"/>
                  <w10:anchorlock/>
                </v:shape>
                <o:OLEObject Type="Embed" ProgID="Word.Document.12" ShapeID="_x0000_i1033" DrawAspect="Content" ObjectID="_1468075733" r:id="rId20">
                  <o:LockedField>false</o:LockedField>
                </o:OLEObject>
              </w:object>
            </w:r>
          </w:p>
          <w:p>
            <w:pPr>
              <w:numPr>
                <w:ilvl w:val="0"/>
                <w:numId w:val="0"/>
              </w:numPr>
              <w:ind w:leftChars="200"/>
              <w:rPr>
                <w:rFonts w:hint="eastAsia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/>
          <w:p/>
          <w:p/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/>
          <w:p/>
          <w:p/>
          <w:p/>
          <w:p/>
          <w:p/>
          <w:p/>
          <w:p/>
          <w:p/>
          <w:p>
            <w:pPr>
              <w:ind w:left="420" w:leftChars="20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  <w:p>
            <w:pPr>
              <w:ind w:left="420" w:leftChars="20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ind w:left="420" w:leftChars="200" w:firstLine="0" w:firstLineChars="0"/>
            </w:pPr>
            <w:r>
              <w:rPr>
                <w:rFonts w:hint="eastAsia"/>
              </w:rPr>
              <w:t>引导讲解</w:t>
            </w:r>
          </w:p>
          <w:p>
            <w:pPr>
              <w:ind w:left="420" w:leftChars="20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ind w:left="420" w:leftChars="200" w:firstLine="0" w:firstLineChars="0"/>
            </w:pPr>
            <w:r>
              <w:rPr>
                <w:rFonts w:hint="eastAsia"/>
              </w:rPr>
              <w:t>板书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</w:t>
            </w:r>
          </w:p>
          <w:p>
            <w:r>
              <w:rPr>
                <w:rFonts w:hint="eastAsia"/>
              </w:rPr>
              <w:t>总结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  <w:r>
              <w:rPr>
                <w:rFonts w:hint="eastAsia"/>
              </w:rPr>
              <w:t>思考回答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/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思考探究讨论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讲解法</w:t>
            </w:r>
          </w:p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反思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一元二次不等式恒成立的问题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47习题</w:t>
            </w:r>
            <w:r>
              <w:rPr>
                <w:rFonts w:hint="eastAsia"/>
                <w:sz w:val="24"/>
              </w:rPr>
              <w:t>T</w:t>
            </w:r>
            <w:r>
              <w:rPr>
                <w:rFonts w:hint="eastAsia"/>
                <w:sz w:val="24"/>
                <w:lang w:val="en-US" w:eastAsia="zh-CN"/>
              </w:rPr>
              <w:t>8、9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2"/>
              <w:tblW w:w="77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09"/>
              <w:gridCol w:w="2155"/>
              <w:gridCol w:w="33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4" w:hRule="atLeast"/>
              </w:trPr>
              <w:tc>
                <w:tcPr>
                  <w:tcW w:w="2209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板书设计</w:t>
                  </w:r>
                </w:p>
              </w:tc>
              <w:tc>
                <w:tcPr>
                  <w:tcW w:w="5531" w:type="dxa"/>
                  <w:gridSpan w:val="2"/>
                  <w:shd w:val="clear" w:color="auto" w:fill="auto"/>
                  <w:vAlign w:val="top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90" w:hRule="atLeast"/>
              </w:trPr>
              <w:tc>
                <w:tcPr>
                  <w:tcW w:w="2209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一、</w:t>
                  </w: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回顾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二、</w:t>
                  </w: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不等式的解法</w:t>
                  </w:r>
                </w:p>
              </w:tc>
              <w:tc>
                <w:tcPr>
                  <w:tcW w:w="2155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eastAsia="zh-CN"/>
                    </w:rPr>
                    <w:t>例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1：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举一反三</w:t>
                  </w:r>
                </w:p>
              </w:tc>
              <w:tc>
                <w:tcPr>
                  <w:tcW w:w="3376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宋体" w:hAnsi="宋体" w:eastAsia="宋体"/>
                      <w:sz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例</w:t>
                  </w: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2：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课堂练习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 xml:space="preserve">   </w:t>
                  </w:r>
                </w:p>
                <w:p>
                  <w:pPr>
                    <w:rPr>
                      <w:rFonts w:hint="eastAsia"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B03C94"/>
    <w:multiLevelType w:val="singleLevel"/>
    <w:tmpl w:val="85B03C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9C02E7"/>
    <w:multiLevelType w:val="singleLevel"/>
    <w:tmpl w:val="C29C02E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8EDB660"/>
    <w:multiLevelType w:val="singleLevel"/>
    <w:tmpl w:val="08EDB6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0A7D22B2"/>
    <w:rsid w:val="0A7D22B2"/>
    <w:rsid w:val="0B073A94"/>
    <w:rsid w:val="0FBE0EC3"/>
    <w:rsid w:val="2FDD3505"/>
    <w:rsid w:val="306D437C"/>
    <w:rsid w:val="41A71DA6"/>
    <w:rsid w:val="455F373F"/>
    <w:rsid w:val="4BFE41C7"/>
    <w:rsid w:val="4FCA01C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9.e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emf"/><Relationship Id="rId18" Type="http://schemas.openxmlformats.org/officeDocument/2006/relationships/oleObject" Target="embeddings/oleObject8.bin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sichunjie</cp:lastModifiedBy>
  <dcterms:modified xsi:type="dcterms:W3CDTF">2023-10-08T07:51:05Z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2B0DE8B2958D441388E8112CEF17700C_12</vt:lpwstr>
  </property>
</Properties>
</file>