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1446" w:firstLineChars="4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东海中等专业学校语文教学设计</w:t>
      </w:r>
    </w:p>
    <w:p>
      <w:pPr>
        <w:rPr>
          <w:rFonts w:hint="eastAsia" w:ascii="宋体" w:hAnsi="宋体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870"/>
        <w:gridCol w:w="1485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  题</w:t>
            </w:r>
          </w:p>
        </w:tc>
        <w:tc>
          <w:tcPr>
            <w:tcW w:w="38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横渠四句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  型</w:t>
            </w:r>
          </w:p>
        </w:tc>
        <w:tc>
          <w:tcPr>
            <w:tcW w:w="188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备课日期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授课班级</w:t>
            </w:r>
          </w:p>
        </w:tc>
        <w:tc>
          <w:tcPr>
            <w:tcW w:w="188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授课时数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2课时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总课时数</w:t>
            </w:r>
          </w:p>
        </w:tc>
        <w:tc>
          <w:tcPr>
            <w:tcW w:w="188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  教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  目</w:t>
            </w:r>
          </w:p>
        </w:tc>
        <w:tc>
          <w:tcPr>
            <w:tcW w:w="188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教学目标</w:t>
            </w:r>
          </w:p>
        </w:tc>
        <w:tc>
          <w:tcPr>
            <w:tcW w:w="7241" w:type="dxa"/>
            <w:gridSpan w:val="3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1．通过寻找关键句来理清思路；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2.品味文中一些富含深意的语句，了解“横渠四句”的内涵，体会其超时代的性质和具有的普遍的人类意义及其现实意义；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</w:t>
            </w:r>
            <w:r>
              <w:rPr>
                <w:rFonts w:hint="eastAsia" w:ascii="宋体" w:hAnsi="宋体"/>
              </w:rPr>
              <w:t>理解文中重要语句的含义。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教学重点</w:t>
            </w:r>
          </w:p>
        </w:tc>
        <w:tc>
          <w:tcPr>
            <w:tcW w:w="724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1.理清内容脉络；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2.作者提出哪四种人生境界及其特点？辨析重点语句的含义。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教学难点</w:t>
            </w:r>
          </w:p>
        </w:tc>
        <w:tc>
          <w:tcPr>
            <w:tcW w:w="724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选择关键的句段，难文浅教，突出重点，领会深意。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思政元素</w:t>
            </w:r>
          </w:p>
        </w:tc>
        <w:tc>
          <w:tcPr>
            <w:tcW w:w="724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理解</w:t>
            </w:r>
            <w:r>
              <w:rPr>
                <w:rFonts w:hint="eastAsia" w:ascii="宋体" w:hAnsi="宋体"/>
              </w:rPr>
              <w:t>中国传统哲学的任务在于提高人的精神境界这一哲学思想。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教学资源</w:t>
            </w:r>
          </w:p>
        </w:tc>
        <w:tc>
          <w:tcPr>
            <w:tcW w:w="724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《教师用书》《综合拓展教程》</w:t>
            </w:r>
          </w:p>
        </w:tc>
      </w:tr>
    </w:tbl>
    <w:p>
      <w:pPr>
        <w:jc w:val="both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第二课时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79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教学程序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   学   内   容   及   活   动</w:t>
            </w:r>
          </w:p>
        </w:tc>
        <w:tc>
          <w:tcPr>
            <w:tcW w:w="145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教学方法与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Ⅰ</w:t>
            </w:r>
            <w:r>
              <w:rPr>
                <w:rFonts w:hint="eastAsia" w:ascii="宋体" w:hAnsi="宋体"/>
                <w:b/>
                <w:szCs w:val="21"/>
              </w:rPr>
              <w:t>.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复习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提问</w:t>
            </w:r>
          </w:p>
        </w:tc>
        <w:tc>
          <w:tcPr>
            <w:tcW w:w="5790" w:type="dxa"/>
            <w:noWrap w:val="0"/>
            <w:vAlign w:val="top"/>
          </w:tcPr>
          <w:p>
            <w:pPr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检查书后【思考与练习】第3题完成情况。</w:t>
            </w:r>
          </w:p>
          <w:p>
            <w:pPr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提问、阅读，教师点拨。</w:t>
            </w:r>
          </w:p>
        </w:tc>
        <w:tc>
          <w:tcPr>
            <w:tcW w:w="145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82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825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练习巩固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firstLine="207" w:firstLineChars="98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Ⅱ</w:t>
            </w:r>
            <w:r>
              <w:rPr>
                <w:rFonts w:hint="eastAsia" w:ascii="宋体" w:hAnsi="宋体"/>
                <w:b/>
                <w:szCs w:val="21"/>
              </w:rPr>
              <w:t>.</w:t>
            </w:r>
          </w:p>
          <w:p>
            <w:pPr>
              <w:ind w:firstLine="415" w:firstLineChars="19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</w:t>
            </w:r>
          </w:p>
          <w:p>
            <w:pPr>
              <w:ind w:firstLine="415" w:firstLineChars="19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</w:t>
            </w:r>
          </w:p>
          <w:p>
            <w:pPr>
              <w:ind w:firstLine="415" w:firstLineChars="19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</w:t>
            </w:r>
          </w:p>
          <w:p>
            <w:pPr>
              <w:ind w:firstLine="415" w:firstLineChars="19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579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四、文本简析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C．请学生谈谈对本段中这两句话的理解。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①天不生仲尼，万古长如夜。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②人所立之“心”，是宇宙“底”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所有格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心，不是宇宙“的”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形容词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心。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讨论，明确：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①比喻，突出了人类之于大自然的意义，没有人类的大自然在漫长的历史中会黑暗如夜。</w:t>
            </w:r>
          </w:p>
          <w:p>
            <w:pPr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②揭示了人与自然的关系，强调人应认识到在自然中的角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色和作用，以人之心、以人化的眼光来看待、对待天地万物。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小结：为天地立心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——人与自然的关系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3. </w:t>
            </w:r>
            <w:r>
              <w:rPr>
                <w:rFonts w:hint="eastAsia" w:ascii="宋体" w:hAnsi="宋体"/>
                <w:szCs w:val="21"/>
              </w:rPr>
              <w:t>研读三、四段。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．学生自由朗读，划出关键句；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．如何理解：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孟子说：“夭寿不二，修身以俟之，所以立命也。”（《尽心上》）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讨论，明确：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孟子认为，一个人不管其是寿是夭、处逆处顺，都应当修持自己的身心以面对人生各种结果，这就是所谓的“立命”。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．请学生自由发言，阐述对“横渠四句”的后三句内涵的理解。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讨论，明确：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“为生民立命”：信宗教的人把万事寄托于“主”，儒家将外在必然与内在当然统一结合起来，将天与人、顺应自然与自强进取结合起来。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“为往圣继绝学”，并不是要接续一般意义的中国学统，而是接续儒家之学统。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“为万世开太平”，“太平”是中国人根深蒂固的社会理想，张载素有济世之志，而他“为万世开太平”，则集中体现了他的救国济世之志。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（二）思考：中国古代修身的最高理想是什么？（内圣外王）如何理解“内圣外王”的真正意义。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讨论，明确：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理解集中在课文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段。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只有圣人才达到最高的精神境界：大公无私，天人合一。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因为圣人心怀天下、客观公正，因此圣人的各种感情乃是宇宙中客观的现象，并不特别与个人联结在一起，这样才最宜为王，这样也才能做到德治，以德服人。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“内圣外王”应是一个整体，“内圣”是“外王”的内在根源，而“外王”是“内圣”的必然延伸。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（三）横渠四句和“内圣外王”有怎样的联系？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学生讨论回答。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明确：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载的“横渠四句”正是把“内圣外王”较好地贯通起来，其“为天地立心”、“为生民立命”，明了宇宙之本体，确定安身立命之道，实为“内圣”之学。“为往圣继绝学，为万世开太平”，也就是如何建功立业的问题，是“外王”之学。</w:t>
            </w:r>
          </w:p>
        </w:tc>
        <w:tc>
          <w:tcPr>
            <w:tcW w:w="145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学生发言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学生分组讨论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点拨法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学生自由朗读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分组讨论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学生发言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讲解法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学生讨论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剖析法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学生讨论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/>
                <w:szCs w:val="21"/>
              </w:rPr>
              <w:instrText xml:space="preserve">= 3 \* ROMAN</w:instrText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ascii="宋体" w:hAnsi="宋体"/>
                <w:b/>
                <w:szCs w:val="21"/>
              </w:rPr>
              <w:t>III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</w:rPr>
              <w:t>.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</w:tc>
        <w:tc>
          <w:tcPr>
            <w:tcW w:w="5790" w:type="dxa"/>
            <w:noWrap w:val="0"/>
            <w:vAlign w:val="top"/>
          </w:tcPr>
          <w:p>
            <w:pPr>
              <w:tabs>
                <w:tab w:val="left" w:pos="76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</w:tc>
        <w:tc>
          <w:tcPr>
            <w:tcW w:w="145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回顾本节课内容，带着学生回忆。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/>
                <w:szCs w:val="21"/>
              </w:rPr>
              <w:instrText xml:space="preserve">= 4 \* ROMAN</w:instrText>
            </w:r>
            <w:r>
              <w:rPr>
                <w:rFonts w:ascii="宋体" w:hAnsi="宋体"/>
                <w:b/>
                <w:szCs w:val="21"/>
              </w:rPr>
              <w:instrText xml:space="preserve">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ascii="宋体" w:hAnsi="宋体"/>
                <w:b/>
                <w:szCs w:val="21"/>
              </w:rPr>
              <w:t>IV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</w:rPr>
              <w:t>．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布置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41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1.课后完成书后【思考与练习】第1题；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2.课外思考: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横渠四句具体内容也许有其局限，但其所涉及的问题，却是超越时代的，具有普遍的人类意义。那么它对于我们的现实人生又有怎样的指导意义呢？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V．</w:t>
            </w:r>
          </w:p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设计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41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十二、横渠四句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冯友兰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“为天地立心”：天地即自然宇宙，天地本来无心，而人有心，人的心即是人的自我认识和对天地的认识；人本来就是自然的产物，是天地之间的一部分，人对于天地的认识即所创造的文化也可以说是天地的自我认识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“为生民立命”：信宗教的人把万事寄托于“主”，儒家将外在必然与内在当然统一结合起来，将天与人、顺应自然与自强进取结合起来；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“为往圣继绝学”，并不是要接续一般意义的中国学统，而是接续儒家之学统；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“为万世开太平”，“太平”是中国人根深蒂固的社会理想，张载素有济世之志，而他“为万世开太平”，则集中体现了他的救国济世之志。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VI．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后记</w:t>
            </w:r>
          </w:p>
        </w:tc>
        <w:tc>
          <w:tcPr>
            <w:tcW w:w="7241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Nzg2ZTcxOWExYTMwZmQ1NGI4OWI1MTc2N2I5YTUifQ=="/>
  </w:docVars>
  <w:rsids>
    <w:rsidRoot w:val="1F274EB9"/>
    <w:rsid w:val="1F27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2023-10-08T03:19:00Z</dcterms:created>
  <dc:creator>Administrator</dc:creator>
  <cp:lastModifiedBy>Administrator</cp:lastModifiedBy>
  <dcterms:modified xsi:type="dcterms:W3CDTF">2023-10-08T03:20:28Z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2AA0BDA62EBC49B2AE962A300EB92671_11</vt:lpwstr>
  </property>
</Properties>
</file>