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tLeast"/>
        <w:jc w:val="center"/>
        <w:rPr>
          <w:rFonts w:hint="eastAsia"/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文化课、德育课、专业基础课教案</w:t>
      </w:r>
    </w:p>
    <w:p>
      <w:pPr>
        <w:spacing w:line="240" w:lineRule="atLeast"/>
        <w:ind w:right="-178" w:rightChars="-85"/>
        <w:jc w:val="center"/>
        <w:rPr>
          <w:rFonts w:hint="eastAsia"/>
          <w:b/>
          <w:sz w:val="24"/>
        </w:rPr>
      </w:pPr>
      <w:r>
        <w:rPr>
          <w:rFonts w:hint="eastAsia"/>
        </w:rPr>
        <w:t xml:space="preserve">                                                       第</w:t>
      </w:r>
      <w:r>
        <w:rPr>
          <w:rFonts w:hint="eastAsia"/>
          <w:u w:val="single"/>
        </w:rPr>
        <w:t xml:space="preserve">   </w:t>
      </w:r>
      <w:r>
        <w:rPr>
          <w:rFonts w:hint="eastAsia"/>
          <w:u w:val="single"/>
          <w:lang w:val="en-US" w:eastAsia="zh-CN"/>
        </w:rPr>
        <w:t>2</w:t>
      </w:r>
      <w:r>
        <w:rPr>
          <w:rFonts w:hint="eastAsia"/>
          <w:u w:val="single"/>
        </w:rPr>
        <w:t xml:space="preserve">   </w:t>
      </w:r>
      <w:r>
        <w:rPr>
          <w:rFonts w:hint="eastAsia"/>
        </w:rPr>
        <w:t>课时 教案序号</w:t>
      </w:r>
      <w:r>
        <w:rPr>
          <w:rFonts w:hint="eastAsia"/>
          <w:u w:val="single"/>
        </w:rPr>
        <w:t xml:space="preserve">         </w:t>
      </w:r>
    </w:p>
    <w:tbl>
      <w:tblPr>
        <w:tblStyle w:val="2"/>
        <w:tblpPr w:leftFromText="180" w:rightFromText="180" w:vertAnchor="page" w:horzAnchor="margin" w:tblpXSpec="center" w:tblpY="2533"/>
        <w:tblW w:w="983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5"/>
        <w:gridCol w:w="403"/>
        <w:gridCol w:w="4812"/>
        <w:gridCol w:w="948"/>
        <w:gridCol w:w="356"/>
        <w:gridCol w:w="720"/>
        <w:gridCol w:w="184"/>
        <w:gridCol w:w="536"/>
        <w:gridCol w:w="184"/>
        <w:gridCol w:w="9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118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授课章（单元）及内容</w:t>
            </w:r>
          </w:p>
        </w:tc>
        <w:tc>
          <w:tcPr>
            <w:tcW w:w="4812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千篇一律与千变万化</w:t>
            </w:r>
          </w:p>
        </w:tc>
        <w:tc>
          <w:tcPr>
            <w:tcW w:w="948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课时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安排</w:t>
            </w:r>
          </w:p>
        </w:tc>
        <w:tc>
          <w:tcPr>
            <w:tcW w:w="126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color w:val="FF0000"/>
              </w:rPr>
            </w:pPr>
          </w:p>
        </w:tc>
        <w:tc>
          <w:tcPr>
            <w:tcW w:w="7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备课</w:t>
            </w:r>
          </w:p>
          <w:p>
            <w:pPr>
              <w:jc w:val="center"/>
              <w:rPr>
                <w:rFonts w:hint="eastAsia"/>
                <w:color w:val="FF0000"/>
              </w:rPr>
            </w:pPr>
            <w:r>
              <w:rPr>
                <w:rFonts w:hint="eastAsia"/>
              </w:rPr>
              <w:t>时间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FF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  <w:jc w:val="center"/>
        </w:trPr>
        <w:tc>
          <w:tcPr>
            <w:tcW w:w="78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教学目标</w:t>
            </w:r>
          </w:p>
        </w:tc>
        <w:tc>
          <w:tcPr>
            <w:tcW w:w="9051" w:type="dxa"/>
            <w:gridSpan w:val="9"/>
            <w:noWrap w:val="0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</w:rPr>
              <w:t>了解艺术创造中重复与变化的艺术规律</w:t>
            </w:r>
            <w:r>
              <w:rPr>
                <w:rFonts w:hint="eastAsia" w:ascii="宋体" w:hAnsi="宋体"/>
                <w:szCs w:val="21"/>
                <w:lang w:eastAsia="zh-CN"/>
              </w:rPr>
              <w:t>，</w:t>
            </w:r>
            <w:r>
              <w:rPr>
                <w:rFonts w:hint="eastAsia" w:ascii="宋体" w:hAnsi="宋体"/>
                <w:szCs w:val="21"/>
              </w:rPr>
              <w:t>品味中国传统文化中音乐、绘画、建筑的含蓄之美</w:t>
            </w:r>
            <w:r>
              <w:rPr>
                <w:rFonts w:hint="eastAsia" w:ascii="宋体" w:hAnsi="宋体"/>
                <w:szCs w:val="21"/>
                <w:lang w:eastAsia="zh-CN"/>
              </w:rPr>
              <w:t>；</w:t>
            </w:r>
          </w:p>
          <w:p>
            <w:pPr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理解本文对事物严谨、辩证的分析方法</w:t>
            </w:r>
            <w:r>
              <w:rPr>
                <w:rFonts w:hint="eastAsia" w:ascii="宋体" w:hAnsi="宋体"/>
                <w:szCs w:val="21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78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教学重点</w:t>
            </w:r>
          </w:p>
        </w:tc>
        <w:tc>
          <w:tcPr>
            <w:tcW w:w="9051" w:type="dxa"/>
            <w:gridSpan w:val="9"/>
            <w:noWrap w:val="0"/>
            <w:vAlign w:val="center"/>
          </w:tcPr>
          <w:p>
            <w:pPr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掌握提要钩玄的阅读方法</w:t>
            </w:r>
            <w:r>
              <w:rPr>
                <w:rFonts w:hint="eastAsia" w:ascii="宋体" w:hAnsi="宋体"/>
                <w:szCs w:val="21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  <w:jc w:val="center"/>
        </w:trPr>
        <w:tc>
          <w:tcPr>
            <w:tcW w:w="78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教学难点</w:t>
            </w:r>
          </w:p>
        </w:tc>
        <w:tc>
          <w:tcPr>
            <w:tcW w:w="9051" w:type="dxa"/>
            <w:gridSpan w:val="9"/>
            <w:noWrap w:val="0"/>
            <w:vAlign w:val="center"/>
          </w:tcPr>
          <w:p>
            <w:pPr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提高</w:t>
            </w:r>
            <w:r>
              <w:rPr>
                <w:rFonts w:hint="eastAsia" w:ascii="宋体" w:hAnsi="宋体"/>
                <w:szCs w:val="21"/>
              </w:rPr>
              <w:t>对文章内容的概括、分析能力。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785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lang w:val="en-US" w:eastAsia="zh-CN"/>
              </w:rPr>
              <w:t>思政元素</w:t>
            </w:r>
          </w:p>
        </w:tc>
        <w:tc>
          <w:tcPr>
            <w:tcW w:w="9051" w:type="dxa"/>
            <w:gridSpan w:val="9"/>
            <w:noWrap w:val="0"/>
            <w:vAlign w:val="center"/>
          </w:tcPr>
          <w:p>
            <w:pPr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体味作者对人类文明的热爱，对传统文化和建筑文明的钟情，引导学生品评自己周围的城市风貌，关心家乡，关注社会</w:t>
            </w:r>
            <w:r>
              <w:rPr>
                <w:rFonts w:hint="eastAsia" w:ascii="宋体" w:hAnsi="宋体"/>
                <w:szCs w:val="21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78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教学资源</w:t>
            </w:r>
          </w:p>
        </w:tc>
        <w:tc>
          <w:tcPr>
            <w:tcW w:w="9051" w:type="dxa"/>
            <w:gridSpan w:val="9"/>
            <w:noWrap w:val="0"/>
            <w:vAlign w:val="center"/>
          </w:tcPr>
          <w:p>
            <w:pPr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教案、</w:t>
            </w:r>
            <w:r>
              <w:rPr>
                <w:rFonts w:hint="eastAsia"/>
                <w:lang w:val="en-US" w:eastAsia="zh-CN"/>
              </w:rPr>
              <w:t>PPT、视频资源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9836" w:type="dxa"/>
            <w:gridSpan w:val="10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教学结构安排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78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教学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环节</w:t>
            </w:r>
          </w:p>
        </w:tc>
        <w:tc>
          <w:tcPr>
            <w:tcW w:w="6519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教学内容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教师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活动</w:t>
            </w:r>
          </w:p>
        </w:tc>
        <w:tc>
          <w:tcPr>
            <w:tcW w:w="7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学生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活动</w:t>
            </w:r>
          </w:p>
        </w:tc>
        <w:tc>
          <w:tcPr>
            <w:tcW w:w="109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教学方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法、手段、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技术应用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9" w:hRule="atLeast"/>
          <w:jc w:val="center"/>
        </w:trPr>
        <w:tc>
          <w:tcPr>
            <w:tcW w:w="78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导入</w:t>
            </w:r>
          </w:p>
        </w:tc>
        <w:tc>
          <w:tcPr>
            <w:tcW w:w="6519" w:type="dxa"/>
            <w:gridSpan w:val="4"/>
            <w:noWrap w:val="0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1.检查《语文综合拓展教程》P128【知识积累】阅读、识记情况；</w:t>
            </w:r>
          </w:p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提问、板演形式。</w:t>
            </w:r>
          </w:p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2.检查《语文综合拓展教程》P128—129“引导训练”【基础训练】1—2题做的情况。</w:t>
            </w:r>
          </w:p>
          <w:p>
            <w:pPr>
              <w:rPr>
                <w:rFonts w:hint="eastAsia"/>
              </w:rPr>
            </w:pPr>
            <w:r>
              <w:rPr>
                <w:rFonts w:hint="eastAsia" w:ascii="宋体" w:hAnsi="宋体"/>
                <w:szCs w:val="21"/>
              </w:rPr>
              <w:t xml:space="preserve">    提问、板演形式。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09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2" w:hRule="atLeast"/>
          <w:jc w:val="center"/>
        </w:trPr>
        <w:tc>
          <w:tcPr>
            <w:tcW w:w="78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新授</w:t>
            </w:r>
          </w:p>
        </w:tc>
        <w:tc>
          <w:tcPr>
            <w:tcW w:w="6519" w:type="dxa"/>
            <w:gridSpan w:val="4"/>
            <w:noWrap w:val="0"/>
            <w:vAlign w:val="center"/>
          </w:tcPr>
          <w:p>
            <w:pPr>
              <w:rPr>
                <w:rFonts w:hint="eastAsia" w:ascii="宋体" w:hAnsi="宋体"/>
                <w:b/>
                <w:szCs w:val="21"/>
              </w:rPr>
            </w:pPr>
          </w:p>
          <w:p>
            <w:pPr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三、探究质疑(幻灯片显示)</w:t>
            </w:r>
          </w:p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1．有人认为，虽然本文的副标题写的是“音乐、绘画、建筑”，但文章重点是谈建筑，谈音乐和绘画也是为了谈建筑，你同意这样的看法吗？</w:t>
            </w:r>
          </w:p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讨论，明确：</w:t>
            </w:r>
          </w:p>
          <w:p>
            <w:pPr>
              <w:ind w:firstLine="420" w:firstLineChars="20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谈音乐和绘画确是为了谈建筑，文章倒数第二段里写到“每一条街都是一轴‘手卷’、一首乐曲”，如果没有了前文的音乐和绘画，那么“手卷”和“乐曲”的说法就失去了依托，同时我们从本文的写作目的来看，作者是就当时的城市建筑存在的问题来写这篇文章的。</w:t>
            </w:r>
          </w:p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2．其实语言艺术也要讲究“千篇一律与千变万化的统一”，诗词歌赋就不要说了，即如散文、议论文也要做到这样才能算是好文章，试结合本文加以分析。</w:t>
            </w:r>
          </w:p>
          <w:p>
            <w:pPr>
              <w:ind w:firstLine="420" w:firstLineChars="20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讨论，明确：</w:t>
            </w:r>
          </w:p>
          <w:p>
            <w:pPr>
              <w:rPr>
                <w:rFonts w:hint="eastAsia"/>
              </w:rPr>
            </w:pPr>
            <w:r>
              <w:rPr>
                <w:rFonts w:hint="eastAsia" w:ascii="宋体" w:hAnsi="宋体"/>
                <w:szCs w:val="21"/>
              </w:rPr>
              <w:t>文章在谈颐和园的长廊时来了个大胆的设想：“那八百米长廊的几百根柱子，几百根梁枋……”用了20个“一根”。从句式上看是重复，从内容上看又在不断的转化，把重复与变化融为一体，20个“一根”在语言上就给人以厌烦感，让人无法接受。也就是说，长廊的柱子，根本不需要那么多不同的形状，千篇一律的圆柱才能给人以特殊的感受，长廊需要的是重复，不是变化。再从全篇的结构上看，作者古今中外，</w:t>
            </w: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板书</w:t>
            </w: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提问</w:t>
            </w:r>
          </w:p>
        </w:tc>
        <w:tc>
          <w:tcPr>
            <w:tcW w:w="7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思考</w:t>
            </w: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讨论</w:t>
            </w:r>
          </w:p>
        </w:tc>
        <w:tc>
          <w:tcPr>
            <w:tcW w:w="109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点拨法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  <w:jc w:val="center"/>
        </w:trPr>
        <w:tc>
          <w:tcPr>
            <w:tcW w:w="78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新授</w:t>
            </w:r>
          </w:p>
        </w:tc>
        <w:tc>
          <w:tcPr>
            <w:tcW w:w="6519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教学内容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教师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活动</w:t>
            </w:r>
          </w:p>
        </w:tc>
        <w:tc>
          <w:tcPr>
            <w:tcW w:w="7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学生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活动</w:t>
            </w:r>
          </w:p>
        </w:tc>
        <w:tc>
          <w:tcPr>
            <w:tcW w:w="109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教学方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法、手段、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技术应用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5" w:hRule="atLeast"/>
          <w:jc w:val="center"/>
        </w:trPr>
        <w:tc>
          <w:tcPr>
            <w:tcW w:w="78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6519" w:type="dxa"/>
            <w:gridSpan w:val="4"/>
            <w:noWrap w:val="0"/>
            <w:vAlign w:val="center"/>
          </w:tcPr>
          <w:p>
            <w:pPr>
              <w:ind w:firstLine="420" w:firstLineChars="200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涉猎了很多的艺术门类，可以说是“变奏”，可是这些“变奏”又紧扣一个主题。</w:t>
            </w:r>
          </w:p>
          <w:p>
            <w:pPr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四、拓展延伸(幻灯片显示)</w:t>
            </w:r>
          </w:p>
          <w:p>
            <w:pPr>
              <w:ind w:firstLine="420" w:firstLineChars="20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教师引导学生快速阅读课文之后，准确把握文章观点，然后结合课文内容，让学生从各自熟悉的歌曲(音乐)或建筑中找出一些实例来，具体谈谈对重复和变化的理解。教师也可以准备一些材料，加入学生的讨论中。</w:t>
            </w:r>
          </w:p>
          <w:p>
            <w:pPr>
              <w:ind w:firstLine="420" w:firstLineChars="20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【示例l】《中国石拱桥》：拱桥的石柱是千篇一律的，而“每个柱头都雕刻着不同姿态的狮子。这些石刻狮子，有的母子相抱，有的交头接耳，有的像倾听水声，千态万状，惟妙惟肖”。</w:t>
            </w:r>
          </w:p>
          <w:p>
            <w:pPr>
              <w:ind w:firstLine="420" w:firstLineChars="20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【示例2】小提琴协奏曲《梁山伯与祝英台》的主题与变奏随时间持续表现出的重复与变化。</w:t>
            </w:r>
          </w:p>
          <w:p>
            <w:pPr>
              <w:ind w:firstLine="420" w:firstLineChars="200"/>
              <w:rPr>
                <w:rFonts w:hint="eastAsia"/>
              </w:rPr>
            </w:pPr>
            <w:r>
              <w:rPr>
                <w:rFonts w:hint="eastAsia" w:ascii="宋体" w:hAnsi="宋体"/>
                <w:szCs w:val="21"/>
              </w:rPr>
              <w:t>【示例3】故宫从大清门至太和殿，先后通过五座门、六个闭合空间(庭、院、广场)，总长约1700米。其中有三处高潮：天安门——午门——太和殿。进入大清门首先是千步廊。经过这个狭长的空间后，出现一处横向展开的广场，迎面是高大的天安门城楼，对比效果强烈，形成第一处高潮；进入天安门，与端门之间形成一个较小空间，顿为收敛。过端门，呈现一个纵深而封闭的空间，尽端是雄伟的午门，有萧杀威猛的气氛，构成第二个高潮；午门和太和门之间又变为横向广庭，舒展开旷。经太和门进入太和广场，是巍峨崇高的太和殿，形成第三个高潮。由此可见，空间的对比变换，在故宫是一个典范。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板书</w:t>
            </w: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提问</w:t>
            </w:r>
          </w:p>
        </w:tc>
        <w:tc>
          <w:tcPr>
            <w:tcW w:w="7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思考</w:t>
            </w: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讨论</w:t>
            </w:r>
          </w:p>
        </w:tc>
        <w:tc>
          <w:tcPr>
            <w:tcW w:w="109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点拨法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2" w:hRule="atLeast"/>
          <w:jc w:val="center"/>
        </w:trPr>
        <w:tc>
          <w:tcPr>
            <w:tcW w:w="78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总结</w:t>
            </w:r>
          </w:p>
        </w:tc>
        <w:tc>
          <w:tcPr>
            <w:tcW w:w="9051" w:type="dxa"/>
            <w:gridSpan w:val="9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 w:ascii="宋体" w:hAnsi="宋体"/>
              </w:rPr>
              <w:t>　</w:t>
            </w:r>
            <w:r>
              <w:rPr>
                <w:rFonts w:hint="eastAsia" w:ascii="宋体" w:hAnsi="宋体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</w:rPr>
              <w:t>整体是由部分组成的”，造型艺术也是如此。组成整体的各个部分之间既有区别，又有联系。只有把它们按照一定的规律，有机地结合成一个整体，才能成为艺术品。从某种角度讲，造型艺术也是有机排序的艺术。把许多杂乱的东西化为统一，在统一中再求得一定变化，这就是有机统一的规律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78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作业</w:t>
            </w:r>
          </w:p>
        </w:tc>
        <w:tc>
          <w:tcPr>
            <w:tcW w:w="9051" w:type="dxa"/>
            <w:gridSpan w:val="9"/>
            <w:noWrap w:val="0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1.课后熟读课文，加深理解内容；</w:t>
            </w:r>
          </w:p>
          <w:p>
            <w:pPr>
              <w:rPr>
                <w:rFonts w:hint="eastAsia"/>
              </w:rPr>
            </w:pPr>
            <w:r>
              <w:rPr>
                <w:rFonts w:hint="eastAsia" w:ascii="宋体" w:hAnsi="宋体"/>
                <w:szCs w:val="21"/>
              </w:rPr>
              <w:t>2.书面：完成书后【思考与练习】。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3" w:hRule="atLeast"/>
          <w:jc w:val="center"/>
        </w:trPr>
        <w:tc>
          <w:tcPr>
            <w:tcW w:w="78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板书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设计</w:t>
            </w:r>
          </w:p>
        </w:tc>
        <w:tc>
          <w:tcPr>
            <w:tcW w:w="9051" w:type="dxa"/>
            <w:gridSpan w:val="9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十九、千篇一律与千变万化</w:t>
            </w:r>
          </w:p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——音乐、绘画、建筑之间的通感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梁思成</w:t>
            </w:r>
          </w:p>
          <w:p>
            <w:pPr>
              <w:rPr>
                <w:rFonts w:hint="eastAsia"/>
              </w:rPr>
            </w:pPr>
            <w:r>
              <w:rPr>
                <w:rFonts w:hint="eastAsia" w:ascii="宋体" w:hAnsi="宋体"/>
                <w:szCs w:val="21"/>
              </w:rPr>
              <w:t>【示例l】《中国石拱桥》：拱桥的石柱是千篇一律的，而“每个柱头都雕刻着不同姿态的狮子。这些石刻狮子，有的母子相抱，有的交头接耳，有的像倾听水声，千态万状，惟妙惟肖”。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78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教学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后记</w:t>
            </w:r>
          </w:p>
        </w:tc>
        <w:tc>
          <w:tcPr>
            <w:tcW w:w="9051" w:type="dxa"/>
            <w:gridSpan w:val="9"/>
            <w:noWrap w:val="0"/>
            <w:vAlign w:val="center"/>
          </w:tcPr>
          <w:p>
            <w:pPr>
              <w:rPr>
                <w:rFonts w:hint="eastAsia"/>
              </w:rPr>
            </w:pPr>
          </w:p>
        </w:tc>
      </w:tr>
    </w:tbl>
    <w:p>
      <w:pPr>
        <w:jc w:val="center"/>
        <w:rPr>
          <w:rFonts w:hint="eastAsia"/>
        </w:rPr>
      </w:pPr>
    </w:p>
    <w:p/>
    <w:sectPr>
      <w:pgSz w:w="11906" w:h="16838"/>
      <w:pgMar w:top="1440" w:right="1106" w:bottom="1440" w:left="1797" w:header="851" w:footer="992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kxYjU3N2IwNDcwMDQ2ZDZkYjZiYzE1ZmE1YmFiOGUifQ=="/>
  </w:docVars>
  <w:rsids>
    <w:rsidRoot w:val="550977B0"/>
    <w:rsid w:val="4B8013E9"/>
    <w:rsid w:val="4CFF2CBD"/>
    <w:rsid w:val="55097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2023-10-08T00:31:00Z</dcterms:created>
  <dc:creator>Administrator</dc:creator>
  <cp:lastModifiedBy>Administrator</cp:lastModifiedBy>
  <dcterms:modified xsi:type="dcterms:W3CDTF">2023-10-08T02:03:14Z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22A53DC6E7DB491E96AD75B9D0479386_11</vt:lpwstr>
  </property>
</Properties>
</file>