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b/>
          <w:sz w:val="44"/>
          <w:szCs w:val="44"/>
        </w:rPr>
      </w:pPr>
      <w:r>
        <w:rPr>
          <w:rFonts w:hint="eastAsia"/>
          <w:b/>
          <w:sz w:val="44"/>
          <w:szCs w:val="44"/>
        </w:rPr>
        <w:t>教</w:t>
      </w:r>
      <w:r>
        <w:rPr>
          <w:b/>
          <w:sz w:val="44"/>
          <w:szCs w:val="44"/>
        </w:rPr>
        <w:t xml:space="preserve">    </w:t>
      </w:r>
      <w:r>
        <w:rPr>
          <w:rFonts w:hint="eastAsia"/>
          <w:b/>
          <w:sz w:val="44"/>
          <w:szCs w:val="44"/>
        </w:rPr>
        <w:t>案</w:t>
      </w:r>
    </w:p>
    <w:p>
      <w:pPr>
        <w:spacing w:line="240" w:lineRule="atLeast"/>
        <w:ind w:right="-178" w:rightChars="-85"/>
        <w:jc w:val="center"/>
        <w:rPr>
          <w:b/>
          <w:sz w:val="24"/>
        </w:rPr>
      </w:pPr>
      <w:r>
        <w:t xml:space="preserve">                                                       </w:t>
      </w:r>
      <w:r>
        <w:rPr>
          <w:rFonts w:hint="eastAsia"/>
        </w:rPr>
        <w:t>第</w:t>
      </w:r>
      <w:r>
        <w:rPr>
          <w:u w:val="single"/>
        </w:rPr>
        <w:t xml:space="preserve"> </w:t>
      </w:r>
      <w:r>
        <w:rPr>
          <w:rFonts w:hint="eastAsia"/>
          <w:u w:val="single"/>
          <w:lang w:val="en-US" w:eastAsia="zh-CN"/>
        </w:rPr>
        <w:t xml:space="preserve">4 </w:t>
      </w:r>
      <w:r>
        <w:rPr>
          <w:u w:val="single"/>
        </w:rPr>
        <w:t xml:space="preserve"> </w:t>
      </w:r>
      <w:r>
        <w:rPr>
          <w:rFonts w:hint="eastAsia"/>
        </w:rPr>
        <w:t>课时</w:t>
      </w:r>
      <w:r>
        <w:t xml:space="preserve"> </w:t>
      </w:r>
      <w:r>
        <w:rPr>
          <w:rFonts w:hint="eastAsia"/>
        </w:rPr>
        <w:t>教案序号</w:t>
      </w:r>
      <w:r>
        <w:rPr>
          <w:u w:val="single"/>
        </w:rPr>
        <w:t xml:space="preserve">     </w:t>
      </w:r>
    </w:p>
    <w:tbl>
      <w:tblPr>
        <w:tblStyle w:val="3"/>
        <w:tblpPr w:leftFromText="180" w:rightFromText="180" w:vertAnchor="page" w:horzAnchor="margin" w:tblpXSpec="center" w:tblpY="2533"/>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61"/>
        <w:gridCol w:w="4812"/>
        <w:gridCol w:w="948"/>
        <w:gridCol w:w="356"/>
        <w:gridCol w:w="720"/>
        <w:gridCol w:w="184"/>
        <w:gridCol w:w="536"/>
        <w:gridCol w:w="184"/>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88" w:type="dxa"/>
            <w:gridSpan w:val="2"/>
            <w:vAlign w:val="center"/>
          </w:tcPr>
          <w:p>
            <w:pPr>
              <w:jc w:val="center"/>
            </w:pPr>
            <w:r>
              <w:rPr>
                <w:rFonts w:hint="eastAsia"/>
              </w:rPr>
              <w:t>授课章（单元）及内容</w:t>
            </w:r>
          </w:p>
        </w:tc>
        <w:tc>
          <w:tcPr>
            <w:tcW w:w="4812" w:type="dxa"/>
            <w:vAlign w:val="center"/>
          </w:tcPr>
          <w:p>
            <w:pPr>
              <w:jc w:val="center"/>
              <w:rPr>
                <w:rFonts w:hint="eastAsia" w:eastAsia="宋体"/>
                <w:lang w:val="en-US" w:eastAsia="zh-CN"/>
              </w:rPr>
            </w:pPr>
            <w:r>
              <w:rPr>
                <w:rFonts w:hint="eastAsia"/>
                <w:lang w:val="en-US" w:eastAsia="zh-CN"/>
              </w:rPr>
              <w:t>记念刘和珍君</w:t>
            </w:r>
          </w:p>
        </w:tc>
        <w:tc>
          <w:tcPr>
            <w:tcW w:w="948" w:type="dxa"/>
            <w:vAlign w:val="center"/>
          </w:tcPr>
          <w:p>
            <w:pPr>
              <w:jc w:val="center"/>
            </w:pPr>
            <w:r>
              <w:rPr>
                <w:rFonts w:hint="eastAsia"/>
              </w:rPr>
              <w:t>课时</w:t>
            </w:r>
          </w:p>
          <w:p>
            <w:pPr>
              <w:jc w:val="center"/>
            </w:pPr>
            <w:r>
              <w:rPr>
                <w:rFonts w:hint="eastAsia"/>
              </w:rPr>
              <w:t>安排</w:t>
            </w:r>
          </w:p>
        </w:tc>
        <w:tc>
          <w:tcPr>
            <w:tcW w:w="1260" w:type="dxa"/>
            <w:gridSpan w:val="3"/>
            <w:vAlign w:val="center"/>
          </w:tcPr>
          <w:p>
            <w:pPr>
              <w:jc w:val="center"/>
              <w:rPr>
                <w:rFonts w:hint="eastAsia" w:eastAsia="宋体"/>
                <w:color w:val="FF0000"/>
                <w:lang w:val="en-US" w:eastAsia="zh-CN"/>
              </w:rPr>
            </w:pPr>
            <w:r>
              <w:rPr>
                <w:rFonts w:hint="eastAsia"/>
                <w:color w:val="auto"/>
                <w:lang w:val="en-US" w:eastAsia="zh-CN"/>
              </w:rPr>
              <w:t>5</w:t>
            </w:r>
            <w:bookmarkStart w:id="0" w:name="_GoBack"/>
            <w:bookmarkEnd w:id="0"/>
          </w:p>
        </w:tc>
        <w:tc>
          <w:tcPr>
            <w:tcW w:w="720" w:type="dxa"/>
            <w:gridSpan w:val="2"/>
            <w:vAlign w:val="center"/>
          </w:tcPr>
          <w:p>
            <w:pPr>
              <w:jc w:val="center"/>
            </w:pPr>
            <w:r>
              <w:rPr>
                <w:rFonts w:hint="eastAsia"/>
              </w:rPr>
              <w:t>备课</w:t>
            </w:r>
          </w:p>
          <w:p>
            <w:pPr>
              <w:jc w:val="center"/>
              <w:rPr>
                <w:color w:val="FF0000"/>
              </w:rPr>
            </w:pPr>
            <w:r>
              <w:rPr>
                <w:rFonts w:hint="eastAsia"/>
              </w:rPr>
              <w:t>时间</w:t>
            </w:r>
          </w:p>
        </w:tc>
        <w:tc>
          <w:tcPr>
            <w:tcW w:w="908" w:type="dxa"/>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27" w:type="dxa"/>
            <w:vAlign w:val="center"/>
          </w:tcPr>
          <w:p>
            <w:pPr>
              <w:jc w:val="center"/>
            </w:pPr>
            <w:r>
              <w:rPr>
                <w:rFonts w:hint="eastAsia"/>
              </w:rPr>
              <w:t>教学目标</w:t>
            </w:r>
          </w:p>
        </w:tc>
        <w:tc>
          <w:tcPr>
            <w:tcW w:w="9009" w:type="dxa"/>
            <w:gridSpan w:val="9"/>
            <w:vAlign w:val="center"/>
          </w:tcPr>
          <w:p>
            <w:r>
              <w:t xml:space="preserve">让学生了解刘和珍烈士的生平及死难经过，认识反动政府的残忍以及反动文人的下流无耻，牢记“三•一八”惨案的教训，百般珍惜今天的幸福生活，为祖国的繁荣富强而勤奋学习。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27" w:type="dxa"/>
            <w:vAlign w:val="center"/>
          </w:tcPr>
          <w:p>
            <w:pPr>
              <w:jc w:val="center"/>
            </w:pPr>
            <w:r>
              <w:rPr>
                <w:rFonts w:hint="eastAsia"/>
              </w:rPr>
              <w:t>教学重点</w:t>
            </w:r>
          </w:p>
        </w:tc>
        <w:tc>
          <w:tcPr>
            <w:tcW w:w="9009" w:type="dxa"/>
            <w:gridSpan w:val="9"/>
            <w:vAlign w:val="center"/>
          </w:tcPr>
          <w:p>
            <w:r>
              <w:t xml:space="preserve">掌握课文是以作者的悲愤之情（悼念烈士、痛恨反动政府）作为贯穿全文的线索；重点理解一些关键文句的含义。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7" w:type="dxa"/>
            <w:vAlign w:val="center"/>
          </w:tcPr>
          <w:p>
            <w:pPr>
              <w:jc w:val="center"/>
            </w:pPr>
            <w:r>
              <w:rPr>
                <w:rFonts w:hint="eastAsia"/>
              </w:rPr>
              <w:t>教学难点</w:t>
            </w:r>
          </w:p>
        </w:tc>
        <w:tc>
          <w:tcPr>
            <w:tcW w:w="9009" w:type="dxa"/>
            <w:gridSpan w:val="9"/>
            <w:vAlign w:val="center"/>
          </w:tcPr>
          <w:p>
            <w:r>
              <w:t xml:space="preserve">掌握课文是以作者的悲愤之情（悼念烈士、痛恨反动政府）作为贯穿全文的线索；重点理解一些关键文句的含义。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7" w:type="dxa"/>
            <w:vAlign w:val="center"/>
          </w:tcPr>
          <w:p>
            <w:pPr>
              <w:jc w:val="center"/>
              <w:rPr>
                <w:rFonts w:hint="default" w:eastAsia="宋体"/>
                <w:sz w:val="21"/>
                <w:szCs w:val="21"/>
                <w:lang w:val="en-US" w:eastAsia="zh-CN"/>
              </w:rPr>
            </w:pPr>
            <w:r>
              <w:rPr>
                <w:rFonts w:hint="eastAsia"/>
                <w:sz w:val="21"/>
                <w:szCs w:val="21"/>
                <w:lang w:val="en-US" w:eastAsia="zh-CN"/>
              </w:rPr>
              <w:t>思政元素</w:t>
            </w:r>
          </w:p>
        </w:tc>
        <w:tc>
          <w:tcPr>
            <w:tcW w:w="9009" w:type="dxa"/>
            <w:gridSpan w:val="9"/>
            <w:vAlign w:val="center"/>
          </w:tcPr>
          <w:p>
            <w:pPr>
              <w:rPr>
                <w:sz w:val="21"/>
                <w:szCs w:val="21"/>
              </w:rPr>
            </w:pPr>
            <w:r>
              <w:rPr>
                <w:rFonts w:ascii="宋体" w:hAnsi="宋体" w:eastAsia="宋体" w:cs="宋体"/>
                <w:sz w:val="21"/>
                <w:szCs w:val="21"/>
              </w:rPr>
              <w:t>通过对刘和珍生平事迹和遇难经过的叙述，歌颂了爱国青年追求真理、反抗强暴的大无畏精神，抨击了反对军阀屠杀人民的凶残卑劣和走狗文人造谣中伤的阴险无耻，激励人们吸取教训，奋起斗争。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7" w:type="dxa"/>
            <w:vAlign w:val="center"/>
          </w:tcPr>
          <w:p>
            <w:pPr>
              <w:jc w:val="center"/>
            </w:pPr>
            <w:r>
              <w:rPr>
                <w:rFonts w:hint="eastAsia"/>
              </w:rPr>
              <w:t>教学资源</w:t>
            </w:r>
          </w:p>
        </w:tc>
        <w:tc>
          <w:tcPr>
            <w:tcW w:w="9009" w:type="dxa"/>
            <w:gridSpan w:val="9"/>
            <w:vAlign w:val="center"/>
          </w:tcPr>
          <w:p>
            <w:pPr>
              <w:rPr>
                <w:rFonts w:hint="default" w:eastAsia="宋体"/>
                <w:lang w:val="en-US" w:eastAsia="zh-CN"/>
              </w:rPr>
            </w:pPr>
            <w:r>
              <w:rPr>
                <w:rFonts w:hint="eastAsia"/>
                <w:lang w:val="en-US" w:eastAsia="zh-CN"/>
              </w:rPr>
              <w:t>PPT 音视频资源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836" w:type="dxa"/>
            <w:gridSpan w:val="10"/>
            <w:vAlign w:val="center"/>
          </w:tcPr>
          <w:p>
            <w:pPr>
              <w:jc w:val="center"/>
            </w:pPr>
            <w:r>
              <w:rPr>
                <w:rFonts w:hint="eastAsia"/>
              </w:rPr>
              <w:t>教学结构安排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27" w:type="dxa"/>
            <w:vAlign w:val="center"/>
          </w:tcPr>
          <w:p>
            <w:pPr>
              <w:jc w:val="center"/>
            </w:pPr>
            <w:r>
              <w:rPr>
                <w:rFonts w:hint="eastAsia"/>
              </w:rPr>
              <w:t>教学</w:t>
            </w:r>
          </w:p>
          <w:p>
            <w:pPr>
              <w:jc w:val="center"/>
            </w:pPr>
            <w:r>
              <w:rPr>
                <w:rFonts w:hint="eastAsia"/>
              </w:rPr>
              <w:t>环节</w:t>
            </w:r>
          </w:p>
        </w:tc>
        <w:tc>
          <w:tcPr>
            <w:tcW w:w="6477" w:type="dxa"/>
            <w:gridSpan w:val="4"/>
            <w:vAlign w:val="center"/>
          </w:tcPr>
          <w:p>
            <w:pPr>
              <w:jc w:val="center"/>
            </w:pPr>
            <w:r>
              <w:rPr>
                <w:rFonts w:hint="eastAsia"/>
              </w:rPr>
              <w:t>教学内容</w:t>
            </w:r>
          </w:p>
        </w:tc>
        <w:tc>
          <w:tcPr>
            <w:tcW w:w="720" w:type="dxa"/>
            <w:vAlign w:val="center"/>
          </w:tcPr>
          <w:p>
            <w:pPr>
              <w:jc w:val="center"/>
            </w:pPr>
            <w:r>
              <w:rPr>
                <w:rFonts w:hint="eastAsia"/>
              </w:rPr>
              <w:t>教师</w:t>
            </w:r>
          </w:p>
          <w:p>
            <w:pPr>
              <w:jc w:val="center"/>
            </w:pPr>
            <w:r>
              <w:rPr>
                <w:rFonts w:hint="eastAsia"/>
              </w:rPr>
              <w:t>活动</w:t>
            </w:r>
          </w:p>
        </w:tc>
        <w:tc>
          <w:tcPr>
            <w:tcW w:w="720" w:type="dxa"/>
            <w:gridSpan w:val="2"/>
            <w:vAlign w:val="center"/>
          </w:tcPr>
          <w:p>
            <w:pPr>
              <w:jc w:val="center"/>
            </w:pPr>
            <w:r>
              <w:rPr>
                <w:rFonts w:hint="eastAsia"/>
              </w:rPr>
              <w:t>学生</w:t>
            </w:r>
          </w:p>
          <w:p>
            <w:pPr>
              <w:jc w:val="center"/>
            </w:pPr>
            <w:r>
              <w:rPr>
                <w:rFonts w:hint="eastAsia"/>
              </w:rPr>
              <w:t>活动</w:t>
            </w:r>
          </w:p>
        </w:tc>
        <w:tc>
          <w:tcPr>
            <w:tcW w:w="1092" w:type="dxa"/>
            <w:gridSpan w:val="2"/>
            <w:vAlign w:val="center"/>
          </w:tcPr>
          <w:p>
            <w:pPr>
              <w:jc w:val="center"/>
            </w:pPr>
            <w:r>
              <w:rPr>
                <w:rFonts w:hint="eastAsia"/>
              </w:rPr>
              <w:t>教学方</w:t>
            </w:r>
          </w:p>
          <w:p>
            <w:pPr>
              <w:jc w:val="center"/>
            </w:pPr>
            <w:r>
              <w:rPr>
                <w:rFonts w:hint="eastAsia"/>
              </w:rPr>
              <w:t>法、手段、</w:t>
            </w:r>
          </w:p>
          <w:p>
            <w:pPr>
              <w:jc w:val="center"/>
            </w:pPr>
            <w:r>
              <w:rPr>
                <w:rFonts w:hint="eastAsia"/>
              </w:rPr>
              <w:t>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827" w:type="dxa"/>
            <w:vAlign w:val="center"/>
          </w:tcPr>
          <w:p>
            <w:pPr>
              <w:jc w:val="center"/>
            </w:pPr>
            <w:r>
              <w:rPr>
                <w:rFonts w:hint="eastAsia"/>
              </w:rPr>
              <w:t>导入</w:t>
            </w:r>
          </w:p>
        </w:tc>
        <w:tc>
          <w:tcPr>
            <w:tcW w:w="6477" w:type="dxa"/>
            <w:gridSpan w:val="4"/>
            <w:vAlign w:val="center"/>
          </w:tcPr>
          <w:p>
            <w:r>
              <w:t xml:space="preserve">    </w:t>
            </w:r>
            <w:r>
              <w:rPr>
                <w:rFonts w:hint="eastAsia"/>
                <w:lang w:eastAsia="zh-CN"/>
              </w:rPr>
              <w:t>复习上节课内容。</w:t>
            </w:r>
          </w:p>
        </w:tc>
        <w:tc>
          <w:tcPr>
            <w:tcW w:w="720" w:type="dxa"/>
            <w:vAlign w:val="center"/>
          </w:tcPr>
          <w:p>
            <w:pPr>
              <w:jc w:val="center"/>
            </w:pPr>
          </w:p>
        </w:tc>
        <w:tc>
          <w:tcPr>
            <w:tcW w:w="720" w:type="dxa"/>
            <w:gridSpan w:val="2"/>
            <w:vAlign w:val="center"/>
          </w:tcPr>
          <w:p>
            <w:pPr>
              <w:jc w:val="center"/>
            </w:pPr>
          </w:p>
        </w:tc>
        <w:tc>
          <w:tcPr>
            <w:tcW w:w="109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827" w:type="dxa"/>
            <w:vAlign w:val="center"/>
          </w:tcPr>
          <w:p>
            <w:pPr>
              <w:jc w:val="center"/>
            </w:pPr>
            <w:r>
              <w:rPr>
                <w:rFonts w:hint="eastAsia"/>
              </w:rPr>
              <w:t>新授</w:t>
            </w:r>
          </w:p>
        </w:tc>
        <w:tc>
          <w:tcPr>
            <w:tcW w:w="6477" w:type="dxa"/>
            <w:gridSpan w:val="4"/>
            <w:vAlign w:val="center"/>
          </w:tcPr>
          <w:p>
            <w:r>
              <w:rPr>
                <w:rFonts w:hint="eastAsia"/>
                <w:lang w:eastAsia="zh-CN"/>
              </w:rPr>
              <w:t>一</w:t>
            </w:r>
            <w:r>
              <w:t>、学习新课。</w:t>
            </w:r>
            <w:r>
              <w:br w:type="textWrapping"/>
            </w:r>
            <w:r>
              <w:t>⒈说到请愿的意义，一般人只是肯定和赞扬，而鲁迅对徒手请愿是什么态度？你怎样理解？</w:t>
            </w:r>
            <w:r>
              <w:br w:type="textWrapping"/>
            </w:r>
            <w:r>
              <w:t>明确：不赞成，应改变斗争方式――“大量的木材”喻指代价巨大的流血斗争；“其中”指流血斗争。作者用煤的形成来比喻牺牲巨大才换来了社会的一点进步，作者以“煤的形成”作比喻，深刻阐明“人类血战前行的历史”往往要付出极大的代价，才能前进一小步，而且“请愿是不在其中的，更何况是徒手”。由此，沉痛地指出这次惨案的经验教训，意在告诉国民认清反动统治者“吃人”的本性，吸取血的教训，改变战斗方法。</w:t>
            </w:r>
            <w:r>
              <w:br w:type="textWrapping"/>
            </w:r>
            <w:r>
              <w:t>比《记念刘和珍君》晚一天写的《空谈》中，对这一点说得非常深刻</w:t>
            </w:r>
            <w:r>
              <w:br w:type="textWrapping"/>
            </w:r>
            <w:r>
              <w:t>　　“改革自然常不免于流血，但流血非即等于改革。血的应用，正如金钱一般，吝啬固然是不行的，浪费也大大的失算”。</w:t>
            </w:r>
            <w:r>
              <w:br w:type="textWrapping"/>
            </w:r>
            <w:r>
              <w:t>　　“但愿这样的请愿，从此停止就好”。</w:t>
            </w:r>
            <w:r>
              <w:br w:type="textWrapping"/>
            </w:r>
            <w:r>
              <w:t>　　“这回死者的遗给后来的功德，是在撕去了许多东西的人相，露出那出于意料之外的阴毒的心，教给继续战斗者以别种方法的战斗”。</w:t>
            </w:r>
            <w:r>
              <w:br w:type="textWrapping"/>
            </w:r>
            <w:r>
              <w:t>　　鲁迅沉痛地告诫青年们，要用“别种方法的战斗”促使那“似人非人的世界”早日到尽头！这才是鲁迅总结教训的用意所在。</w:t>
            </w:r>
            <w:r>
              <w:br w:type="textWrapping"/>
            </w:r>
            <w:r>
              <w:t>⒉作者引用陶渊明的诗，用意何在？</w:t>
            </w:r>
            <w:r>
              <w:br w:type="textWrapping"/>
            </w:r>
            <w:r>
              <w:t xml:space="preserve">明确：作者认为尽管请愿收效甚微，但对社会还是有一定影响的，勇士们的鲜血不会白流。 </w:t>
            </w:r>
            <w:r>
              <w:br w:type="textWrapping"/>
            </w:r>
            <w:r>
              <w:t>⒊作者是怎样评价烈士死难的意义的？齐读思考。</w:t>
            </w:r>
            <w:r>
              <w:br w:type="textWrapping"/>
            </w:r>
            <w:r>
              <w:t>明确：a、高度赞颂——</w:t>
            </w:r>
            <w:r>
              <w:br w:type="textWrapping"/>
            </w:r>
            <w:r>
              <w:t>“至于这一回在弹雨中互相救助，虽殒身不恤的事实，则更足为中国女子的勇毅，虽遭阴谋秘计，压抑至数千年，而终于没有消亡的明证了”</w:t>
            </w:r>
            <w:r>
              <w:br w:type="textWrapping"/>
            </w:r>
            <w:r>
              <w:t>这是个单句，主语是“事实”，谓语是“为”，宾语是“明证”。作者通过这一单句高度评价了烈士死难的意义，讴歌了刘和珍等临难从容的勇毅精神。</w:t>
            </w:r>
            <w:r>
              <w:br w:type="textWrapping"/>
            </w:r>
            <w:r>
              <w:t>b、将来意义——</w:t>
            </w:r>
            <w:r>
              <w:br w:type="textWrapping"/>
            </w:r>
            <w:r>
              <w:t>“苟活者在淡红的血色中，会依稀看见微茫的希望；真的猛士，将更奋然而前行。”</w:t>
            </w:r>
            <w:r>
              <w:br w:type="textWrapping"/>
            </w:r>
            <w:r>
              <w:t>明确：</w:t>
            </w:r>
            <w:r>
              <w:br w:type="textWrapping"/>
            </w:r>
            <w:r>
              <w:t>①这个并列复句，十分恰当地评价了“三•一八”死难烈士对于将来的意义。尽管，在这“并非人间”的世上活着的，有许多是“苟活者”，但即使是“苟活者”，也将从壮烈的事件中看到一点希望，哪怕是“依稀”“微茫”的；而“真的猛士”将越来越多，先驱者的壮烈精神将激励、鼓舞他们更加勇猛坚定地去斗争、前进。</w:t>
            </w:r>
            <w:r>
              <w:br w:type="textWrapping"/>
            </w:r>
            <w:r>
              <w:t>②“苟活者”首先是说自己，因为鲁迅先生严于解剖自己，同时也是为映衬刘和珍等人的勇毅形象。“苟活者”也说那些不敢斗争，暂得偷生的“庸人”，鲁迅先生希望这些人能看到希望，起来战斗，这也是战斗的号召</w:t>
            </w:r>
            <w:r>
              <w:br w:type="textWrapping"/>
            </w:r>
            <w:r>
              <w:t xml:space="preserve">⒋文后作者又说“呜呼，我说不出话，”作者明明说了这么多，怎么又说说不出话呢？ </w:t>
            </w:r>
            <w:r>
              <w:br w:type="textWrapping"/>
            </w:r>
            <w:r>
              <w:t>明确：在此，表达了作者无尽的悲愤和深深地歉意。</w:t>
            </w:r>
          </w:p>
        </w:tc>
        <w:tc>
          <w:tcPr>
            <w:tcW w:w="720" w:type="dxa"/>
            <w:vAlign w:val="center"/>
          </w:tcPr>
          <w:p>
            <w:pPr>
              <w:jc w:val="center"/>
            </w:pPr>
          </w:p>
        </w:tc>
        <w:tc>
          <w:tcPr>
            <w:tcW w:w="720" w:type="dxa"/>
            <w:gridSpan w:val="2"/>
            <w:vAlign w:val="center"/>
          </w:tcPr>
          <w:p>
            <w:pPr>
              <w:jc w:val="center"/>
            </w:pPr>
          </w:p>
        </w:tc>
        <w:tc>
          <w:tcPr>
            <w:tcW w:w="109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27" w:type="dxa"/>
            <w:vAlign w:val="center"/>
          </w:tcPr>
          <w:p>
            <w:pPr>
              <w:jc w:val="center"/>
            </w:pPr>
            <w:r>
              <w:rPr>
                <w:rFonts w:hint="eastAsia"/>
              </w:rPr>
              <w:t>总结</w:t>
            </w:r>
          </w:p>
        </w:tc>
        <w:tc>
          <w:tcPr>
            <w:tcW w:w="9009" w:type="dxa"/>
            <w:gridSpan w:val="9"/>
            <w:vAlign w:val="center"/>
          </w:tcPr>
          <w:p>
            <w:pPr>
              <w:pStyle w:val="2"/>
              <w:widowControl/>
              <w:spacing w:beforeAutospacing="0" w:afterAutospacing="0" w:line="450" w:lineRule="atLeast"/>
            </w:pPr>
            <w:r>
              <w:rPr>
                <w:rFonts w:ascii="宋体" w:hAnsi="宋体" w:cs="宋体"/>
                <w:color w:val="333333"/>
              </w:rPr>
              <w:t xml:space="preserve"> 引导学生回顾全文，并概括文章的中心思想：揭露反动军阀政府的残虐凶险，走狗文人的下劣无耻，热烈颂扬爱国青年临难从容的勇毅精神，激励革命者更加奋然前行。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27" w:type="dxa"/>
            <w:vAlign w:val="center"/>
          </w:tcPr>
          <w:p>
            <w:pPr>
              <w:jc w:val="center"/>
            </w:pPr>
            <w:r>
              <w:rPr>
                <w:rFonts w:hint="eastAsia"/>
              </w:rPr>
              <w:t>作业</w:t>
            </w:r>
          </w:p>
        </w:tc>
        <w:tc>
          <w:tcPr>
            <w:tcW w:w="9009" w:type="dxa"/>
            <w:gridSpan w:val="9"/>
            <w:vAlign w:val="center"/>
          </w:tcPr>
          <w:p>
            <w:pPr>
              <w:rPr>
                <w:rFonts w:hint="eastAsia" w:eastAsia="宋体"/>
                <w:lang w:eastAsia="zh-CN"/>
              </w:rPr>
            </w:pPr>
            <w:r>
              <w:rPr>
                <w:rFonts w:hint="eastAsia"/>
                <w:lang w:eastAsia="zh-CN"/>
              </w:rPr>
              <w:t>练习册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827" w:type="dxa"/>
            <w:vAlign w:val="center"/>
          </w:tcPr>
          <w:p>
            <w:pPr>
              <w:jc w:val="center"/>
            </w:pPr>
            <w:r>
              <w:rPr>
                <w:rFonts w:hint="eastAsia"/>
              </w:rPr>
              <w:t>板书</w:t>
            </w:r>
          </w:p>
          <w:p>
            <w:pPr>
              <w:jc w:val="center"/>
            </w:pPr>
            <w:r>
              <w:rPr>
                <w:rFonts w:hint="eastAsia"/>
              </w:rPr>
              <w:t>设计</w:t>
            </w:r>
          </w:p>
        </w:tc>
        <w:tc>
          <w:tcPr>
            <w:tcW w:w="9009" w:type="dxa"/>
            <w:gridSpan w:val="9"/>
            <w:vAlign w:val="center"/>
          </w:tcPr>
          <w:p>
            <w:pPr>
              <w:pStyle w:val="2"/>
              <w:widowControl/>
              <w:spacing w:beforeAutospacing="0" w:afterAutospacing="0" w:line="450" w:lineRule="atLeast"/>
              <w:rPr>
                <w:rFonts w:ascii="宋体" w:cs="宋体"/>
                <w:color w:val="333333"/>
                <w:sz w:val="21"/>
                <w:szCs w:val="21"/>
              </w:rPr>
            </w:pPr>
            <w:r>
              <w:rPr>
                <w:rFonts w:ascii="宋体" w:hAnsi="宋体" w:cs="宋体"/>
                <w:color w:val="333333"/>
              </w:rPr>
              <w:t xml:space="preserve"> </w:t>
            </w:r>
            <w:r>
              <w:rPr>
                <w:rFonts w:hint="eastAsia" w:ascii="宋体" w:hAnsi="宋体" w:cs="宋体"/>
                <w:color w:val="333333"/>
                <w:lang w:val="en-US" w:eastAsia="zh-CN"/>
              </w:rPr>
              <w:t xml:space="preserve">            </w:t>
            </w:r>
            <w:r>
              <w:rPr>
                <w:sz w:val="21"/>
                <w:szCs w:val="21"/>
              </w:rPr>
              <w:t>高度赞颂</w:t>
            </w:r>
          </w:p>
          <w:p>
            <w:pPr>
              <w:ind w:firstLine="1680" w:firstLineChars="800"/>
            </w:pPr>
            <w:r>
              <w:rPr>
                <w:sz w:val="21"/>
                <w:szCs w:val="21"/>
              </w:rPr>
              <w:t>将来意义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27" w:type="dxa"/>
            <w:vAlign w:val="center"/>
          </w:tcPr>
          <w:p>
            <w:pPr>
              <w:jc w:val="center"/>
            </w:pPr>
            <w:r>
              <w:rPr>
                <w:rFonts w:hint="eastAsia"/>
              </w:rPr>
              <w:t>教学</w:t>
            </w:r>
          </w:p>
          <w:p>
            <w:pPr>
              <w:jc w:val="center"/>
            </w:pPr>
            <w:r>
              <w:rPr>
                <w:rFonts w:hint="eastAsia"/>
              </w:rPr>
              <w:t>后记</w:t>
            </w:r>
          </w:p>
        </w:tc>
        <w:tc>
          <w:tcPr>
            <w:tcW w:w="9009" w:type="dxa"/>
            <w:gridSpan w:val="9"/>
            <w:vAlign w:val="center"/>
          </w:tcPr>
          <w:p/>
        </w:tc>
      </w:tr>
    </w:tbl>
    <w:p>
      <w:pPr>
        <w:jc w:val="cente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YTdmNmY4NmI0MmIxNjgwMGQ4NWZhNjY5MDA3YTQifQ=="/>
  </w:docVars>
  <w:rsids>
    <w:rsidRoot w:val="2069681C"/>
    <w:rsid w:val="0B2332A9"/>
    <w:rsid w:val="0C5B4287"/>
    <w:rsid w:val="2069681C"/>
    <w:rsid w:val="353F391A"/>
    <w:rsid w:val="3BF45ED2"/>
    <w:rsid w:val="3CE904B4"/>
    <w:rsid w:val="41F058B0"/>
    <w:rsid w:val="4784448B"/>
    <w:rsid w:val="4B984748"/>
    <w:rsid w:val="5AC21533"/>
    <w:rsid w:val="7241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1483</Words>
  <Characters>1491</Characters>
  <Lines>0</Lines>
  <Paragraphs>0</Paragraphs>
  <TotalTime>1</TotalTime>
  <ScaleCrop>false</ScaleCrop>
  <LinksUpToDate>false</LinksUpToDate>
  <CharactersWithSpaces>1591</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2018-03-22T00:56:00Z</dcterms:created>
  <dc:creator>Administrator</dc:creator>
  <cp:lastModifiedBy>86157</cp:lastModifiedBy>
  <dcterms:modified xsi:type="dcterms:W3CDTF">2023-10-08T08:54:22Z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C4D695BA229E40B3A10A68755C196584</vt:lpwstr>
  </property>
</Properties>
</file>