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rPr>
      </w:pPr>
    </w:p>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rFonts w:hint="eastAsia"/>
          <w:b/>
          <w:sz w:val="24"/>
        </w:rPr>
      </w:pPr>
      <w:r>
        <w:rPr>
          <w:rFonts w:hint="eastAsia"/>
        </w:rPr>
        <w:t xml:space="preserve">                                                       第</w:t>
      </w:r>
      <w:r>
        <w:rPr>
          <w:rFonts w:hint="eastAsia"/>
          <w:u w:val="single"/>
        </w:rPr>
        <w:t xml:space="preserve">       </w:t>
      </w:r>
      <w:r>
        <w:rPr>
          <w:rFonts w:hint="eastAsia"/>
        </w:rPr>
        <w:t>课时 教案序号</w:t>
      </w:r>
      <w:r>
        <w:rPr>
          <w:rFonts w:hint="eastAsia"/>
          <w:u w:val="single"/>
        </w:rPr>
        <w:t xml:space="preserve">         </w:t>
      </w:r>
    </w:p>
    <w:tbl>
      <w:tblPr>
        <w:tblStyle w:val="2"/>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403"/>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授课章（单元）及内容</w:t>
            </w:r>
          </w:p>
        </w:tc>
        <w:tc>
          <w:tcPr>
            <w:tcW w:w="4812"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动画与超链接</w:t>
            </w:r>
          </w:p>
        </w:tc>
        <w:tc>
          <w:tcPr>
            <w:tcW w:w="948" w:type="dxa"/>
            <w:vAlign w:val="center"/>
          </w:tcPr>
          <w:p>
            <w:pPr>
              <w:keepNext w:val="0"/>
              <w:keepLines w:val="0"/>
              <w:suppressLineNumbers w:val="0"/>
              <w:spacing w:before="0" w:beforeAutospacing="0" w:after="0" w:afterAutospacing="0"/>
              <w:ind w:left="0" w:right="0"/>
              <w:jc w:val="center"/>
              <w:rPr>
                <w:rFonts w:hint="eastAsia"/>
              </w:rPr>
            </w:pPr>
            <w:r>
              <w:rPr>
                <w:rFonts w:hint="eastAsia"/>
              </w:rPr>
              <w:t>课时</w:t>
            </w:r>
          </w:p>
          <w:p>
            <w:pPr>
              <w:keepNext w:val="0"/>
              <w:keepLines w:val="0"/>
              <w:suppressLineNumbers w:val="0"/>
              <w:spacing w:before="0" w:beforeAutospacing="0" w:after="0" w:afterAutospacing="0"/>
              <w:ind w:left="0" w:right="0"/>
              <w:jc w:val="center"/>
              <w:rPr>
                <w:rFonts w:hint="eastAsia"/>
              </w:rPr>
            </w:pPr>
            <w:r>
              <w:rPr>
                <w:rFonts w:hint="eastAsia"/>
              </w:rPr>
              <w:t>安排</w:t>
            </w:r>
          </w:p>
        </w:tc>
        <w:tc>
          <w:tcPr>
            <w:tcW w:w="1260" w:type="dxa"/>
            <w:gridSpan w:val="3"/>
            <w:vAlign w:val="center"/>
          </w:tcPr>
          <w:p>
            <w:pPr>
              <w:keepNext w:val="0"/>
              <w:keepLines w:val="0"/>
              <w:suppressLineNumbers w:val="0"/>
              <w:spacing w:before="0" w:beforeAutospacing="0" w:after="0" w:afterAutospacing="0"/>
              <w:ind w:left="0" w:right="0"/>
              <w:jc w:val="center"/>
              <w:rPr>
                <w:rFonts w:hint="eastAsia" w:eastAsia="宋体"/>
                <w:color w:val="FF0000"/>
                <w:lang w:val="en-US" w:eastAsia="zh-CN"/>
              </w:rPr>
            </w:pPr>
            <w:r>
              <w:rPr>
                <w:rFonts w:hint="eastAsia"/>
                <w:color w:val="FF0000"/>
                <w:lang w:val="en-US" w:eastAsia="zh-CN"/>
              </w:rPr>
              <w:t>2</w:t>
            </w: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备课</w:t>
            </w:r>
          </w:p>
          <w:p>
            <w:pPr>
              <w:keepNext w:val="0"/>
              <w:keepLines w:val="0"/>
              <w:suppressLineNumbers w:val="0"/>
              <w:spacing w:before="0" w:beforeAutospacing="0" w:after="0" w:afterAutospacing="0"/>
              <w:ind w:left="0" w:right="0"/>
              <w:jc w:val="center"/>
              <w:rPr>
                <w:rFonts w:hint="eastAsia"/>
                <w:color w:val="FF0000"/>
              </w:rPr>
            </w:pPr>
            <w:r>
              <w:rPr>
                <w:rFonts w:hint="eastAsia"/>
              </w:rPr>
              <w:t>时间</w:t>
            </w:r>
          </w:p>
        </w:tc>
        <w:tc>
          <w:tcPr>
            <w:tcW w:w="908" w:type="dxa"/>
            <w:vAlign w:val="center"/>
          </w:tcPr>
          <w:p>
            <w:pPr>
              <w:keepNext w:val="0"/>
              <w:keepLines w:val="0"/>
              <w:suppressLineNumbers w:val="0"/>
              <w:spacing w:before="0" w:beforeAutospacing="0" w:after="0" w:afterAutospacing="0"/>
              <w:ind w:left="0" w:right="0"/>
              <w:jc w:val="cente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教学目标</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cs="仿宋_GB2312"/>
                <w:color w:val="000000"/>
                <w:position w:val="6"/>
                <w:szCs w:val="21"/>
              </w:rPr>
              <w:t>具有使用</w:t>
            </w:r>
            <w:r>
              <w:rPr>
                <w:rFonts w:hint="default" w:ascii="宋体" w:hAnsi="宋体" w:cs="仿宋_GB2312"/>
                <w:color w:val="000000"/>
                <w:position w:val="6"/>
                <w:szCs w:val="21"/>
              </w:rPr>
              <w:t>Po</w:t>
            </w:r>
            <w:r>
              <w:rPr>
                <w:rFonts w:hint="eastAsia" w:ascii="宋体" w:hAnsi="宋体" w:cs="仿宋_GB2312"/>
                <w:color w:val="000000"/>
                <w:position w:val="6"/>
                <w:szCs w:val="21"/>
              </w:rPr>
              <w:t>w</w:t>
            </w:r>
            <w:r>
              <w:rPr>
                <w:rFonts w:hint="default" w:ascii="宋体" w:hAnsi="宋体" w:cs="仿宋_GB2312"/>
                <w:color w:val="000000"/>
                <w:position w:val="6"/>
                <w:szCs w:val="21"/>
              </w:rPr>
              <w:t>erPoint</w:t>
            </w:r>
            <w:r>
              <w:rPr>
                <w:rFonts w:hint="eastAsia" w:ascii="宋体" w:hAnsi="宋体" w:cs="仿宋_GB2312"/>
                <w:color w:val="000000"/>
                <w:position w:val="6"/>
                <w:szCs w:val="21"/>
              </w:rPr>
              <w:t>进行制作</w:t>
            </w:r>
            <w:r>
              <w:rPr>
                <w:rFonts w:hint="eastAsia" w:ascii="宋体" w:hAnsi="宋体" w:cs="仿宋_GB2312"/>
                <w:color w:val="000000"/>
                <w:position w:val="6"/>
                <w:szCs w:val="21"/>
                <w:lang w:val="en-US" w:eastAsia="zh-CN"/>
              </w:rPr>
              <w:t>动画和超链接</w:t>
            </w:r>
            <w:r>
              <w:rPr>
                <w:rFonts w:hint="eastAsia" w:ascii="宋体" w:hAnsi="宋体" w:cs="仿宋_GB2312"/>
                <w:color w:val="000000"/>
                <w:position w:val="6"/>
                <w:szCs w:val="21"/>
              </w:rPr>
              <w:t>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教学重点</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cs="仿宋_GB2312"/>
                <w:color w:val="000000"/>
                <w:position w:val="6"/>
                <w:szCs w:val="21"/>
              </w:rPr>
              <w:t>使用</w:t>
            </w:r>
            <w:r>
              <w:rPr>
                <w:rFonts w:hint="default" w:ascii="宋体" w:hAnsi="宋体" w:cs="仿宋_GB2312"/>
                <w:color w:val="000000"/>
                <w:position w:val="6"/>
                <w:szCs w:val="21"/>
              </w:rPr>
              <w:t>Po</w:t>
            </w:r>
            <w:r>
              <w:rPr>
                <w:rFonts w:hint="eastAsia" w:ascii="宋体" w:hAnsi="宋体" w:cs="仿宋_GB2312"/>
                <w:color w:val="000000"/>
                <w:position w:val="6"/>
                <w:szCs w:val="21"/>
              </w:rPr>
              <w:t>w</w:t>
            </w:r>
            <w:r>
              <w:rPr>
                <w:rFonts w:hint="default" w:ascii="宋体" w:hAnsi="宋体" w:cs="仿宋_GB2312"/>
                <w:color w:val="000000"/>
                <w:position w:val="6"/>
                <w:szCs w:val="21"/>
              </w:rPr>
              <w:t>erPoint</w:t>
            </w:r>
            <w:r>
              <w:rPr>
                <w:rFonts w:hint="eastAsia" w:ascii="宋体" w:hAnsi="宋体" w:cs="仿宋_GB2312"/>
                <w:color w:val="000000"/>
                <w:position w:val="6"/>
                <w:szCs w:val="21"/>
              </w:rPr>
              <w:t>进行制作</w:t>
            </w:r>
            <w:r>
              <w:rPr>
                <w:rFonts w:hint="eastAsia" w:ascii="宋体" w:hAnsi="宋体" w:cs="仿宋_GB2312"/>
                <w:color w:val="000000"/>
                <w:position w:val="6"/>
                <w:szCs w:val="21"/>
                <w:lang w:val="en-US" w:eastAsia="zh-CN"/>
              </w:rPr>
              <w:t>动画</w:t>
            </w:r>
            <w:r>
              <w:rPr>
                <w:rFonts w:hint="eastAsia" w:ascii="宋体" w:hAnsi="宋体" w:cs="仿宋_GB2312"/>
                <w:color w:val="000000"/>
                <w:position w:val="6"/>
                <w:szCs w:val="21"/>
              </w:rPr>
              <w:t>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教学难点</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cs="仿宋_GB2312"/>
                <w:color w:val="000000"/>
                <w:position w:val="6"/>
                <w:szCs w:val="21"/>
              </w:rPr>
              <w:t>使用</w:t>
            </w:r>
            <w:r>
              <w:rPr>
                <w:rFonts w:hint="default" w:ascii="宋体" w:hAnsi="宋体" w:cs="仿宋_GB2312"/>
                <w:color w:val="000000"/>
                <w:position w:val="6"/>
                <w:szCs w:val="21"/>
              </w:rPr>
              <w:t>Po</w:t>
            </w:r>
            <w:r>
              <w:rPr>
                <w:rFonts w:hint="eastAsia" w:ascii="宋体" w:hAnsi="宋体" w:cs="仿宋_GB2312"/>
                <w:color w:val="000000"/>
                <w:position w:val="6"/>
                <w:szCs w:val="21"/>
              </w:rPr>
              <w:t>w</w:t>
            </w:r>
            <w:r>
              <w:rPr>
                <w:rFonts w:hint="default" w:ascii="宋体" w:hAnsi="宋体" w:cs="仿宋_GB2312"/>
                <w:color w:val="000000"/>
                <w:position w:val="6"/>
                <w:szCs w:val="21"/>
              </w:rPr>
              <w:t>erPoint</w:t>
            </w:r>
            <w:r>
              <w:rPr>
                <w:rFonts w:hint="eastAsia" w:ascii="宋体" w:hAnsi="宋体" w:cs="仿宋_GB2312"/>
                <w:color w:val="000000"/>
                <w:position w:val="6"/>
                <w:szCs w:val="21"/>
              </w:rPr>
              <w:t>进行制作</w:t>
            </w:r>
            <w:r>
              <w:rPr>
                <w:rFonts w:hint="eastAsia" w:ascii="宋体" w:hAnsi="宋体" w:cs="仿宋_GB2312"/>
                <w:color w:val="000000"/>
                <w:position w:val="6"/>
                <w:szCs w:val="21"/>
                <w:lang w:val="en-US" w:eastAsia="zh-CN"/>
              </w:rPr>
              <w:t>超链接</w:t>
            </w:r>
            <w:r>
              <w:rPr>
                <w:rFonts w:hint="eastAsia" w:ascii="宋体" w:hAnsi="宋体" w:cs="仿宋_GB2312"/>
                <w:color w:val="000000"/>
                <w:position w:val="6"/>
                <w:szCs w:val="21"/>
              </w:rPr>
              <w:t>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思政元素</w:t>
            </w:r>
          </w:p>
        </w:tc>
        <w:tc>
          <w:tcPr>
            <w:tcW w:w="9051" w:type="dxa"/>
            <w:gridSpan w:val="9"/>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《大国工匠》动画欣赏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教学资源</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lang w:val="en-US" w:eastAsia="zh-CN"/>
              </w:rPr>
              <w:t>课本、PPT 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keepNext w:val="0"/>
              <w:keepLines w:val="0"/>
              <w:suppressLineNumbers w:val="0"/>
              <w:spacing w:before="0" w:beforeAutospacing="0" w:after="0" w:afterAutospacing="0"/>
              <w:ind w:left="0" w:right="0"/>
              <w:jc w:val="center"/>
              <w:rPr>
                <w:rFonts w:hint="eastAsia"/>
              </w:rP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w:t>
            </w:r>
          </w:p>
          <w:p>
            <w:pPr>
              <w:keepNext w:val="0"/>
              <w:keepLines w:val="0"/>
              <w:suppressLineNumbers w:val="0"/>
              <w:spacing w:before="0" w:beforeAutospacing="0" w:after="0" w:afterAutospacing="0"/>
              <w:ind w:left="0" w:right="0"/>
              <w:jc w:val="center"/>
              <w:rPr>
                <w:rFonts w:hint="eastAsia"/>
              </w:rPr>
            </w:pPr>
            <w:r>
              <w:rPr>
                <w:rFonts w:hint="eastAsia"/>
              </w:rPr>
              <w:t>环节</w:t>
            </w:r>
          </w:p>
        </w:tc>
        <w:tc>
          <w:tcPr>
            <w:tcW w:w="6519" w:type="dxa"/>
            <w:gridSpan w:val="4"/>
            <w:vAlign w:val="center"/>
          </w:tcPr>
          <w:p>
            <w:pPr>
              <w:keepNext w:val="0"/>
              <w:keepLines w:val="0"/>
              <w:suppressLineNumbers w:val="0"/>
              <w:spacing w:before="0" w:beforeAutospacing="0" w:after="0" w:afterAutospacing="0"/>
              <w:ind w:left="0" w:right="0"/>
              <w:jc w:val="center"/>
              <w:rPr>
                <w:rFonts w:hint="eastAsia"/>
              </w:rPr>
            </w:pPr>
            <w:r>
              <w:rPr>
                <w:rFonts w:hint="eastAsia"/>
              </w:rPr>
              <w:t>教学内容</w:t>
            </w:r>
          </w:p>
        </w:tc>
        <w:tc>
          <w:tcPr>
            <w:tcW w:w="720"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教师</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学生</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教学方</w:t>
            </w:r>
          </w:p>
          <w:p>
            <w:pPr>
              <w:keepNext w:val="0"/>
              <w:keepLines w:val="0"/>
              <w:suppressLineNumbers w:val="0"/>
              <w:spacing w:before="0" w:beforeAutospacing="0" w:after="0" w:afterAutospacing="0"/>
              <w:ind w:left="0" w:right="0"/>
              <w:jc w:val="center"/>
              <w:rPr>
                <w:rFonts w:hint="eastAsia"/>
              </w:rPr>
            </w:pPr>
            <w:r>
              <w:rPr>
                <w:rFonts w:hint="eastAsia"/>
              </w:rPr>
              <w:t>法、手段、</w:t>
            </w:r>
          </w:p>
          <w:p>
            <w:pPr>
              <w:keepNext w:val="0"/>
              <w:keepLines w:val="0"/>
              <w:suppressLineNumbers w:val="0"/>
              <w:spacing w:before="0" w:beforeAutospacing="0" w:after="0" w:afterAutospacing="0"/>
              <w:ind w:left="0" w:right="0"/>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6"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导入</w:t>
            </w:r>
          </w:p>
        </w:tc>
        <w:tc>
          <w:tcPr>
            <w:tcW w:w="6519" w:type="dxa"/>
            <w:gridSpan w:val="4"/>
            <w:vAlign w:val="center"/>
          </w:tcPr>
          <w:p>
            <w:pPr>
              <w:keepNext w:val="0"/>
              <w:keepLines w:val="0"/>
              <w:suppressLineNumbers w:val="0"/>
              <w:spacing w:before="0" w:beforeAutospacing="0" w:after="0" w:afterAutospacing="0"/>
              <w:ind w:left="0" w:right="0" w:firstLine="411" w:firstLineChars="196"/>
              <w:rPr>
                <w:rFonts w:hint="default"/>
              </w:rPr>
            </w:pPr>
            <w:r>
              <w:rPr>
                <w:rFonts w:hint="eastAsia"/>
              </w:rPr>
              <w:t>任务情景1：</w:t>
            </w:r>
          </w:p>
          <w:p>
            <w:pPr>
              <w:keepNext w:val="0"/>
              <w:keepLines w:val="0"/>
              <w:suppressLineNumbers w:val="0"/>
              <w:spacing w:before="0" w:beforeAutospacing="0" w:after="0" w:afterAutospacing="0"/>
              <w:ind w:left="0" w:right="0" w:firstLine="420" w:firstLineChars="200"/>
              <w:rPr>
                <w:rFonts w:hint="default"/>
              </w:rPr>
            </w:pPr>
            <w:r>
              <w:rPr>
                <w:rFonts w:hint="eastAsia"/>
              </w:rPr>
              <w:t>小李在旅行社上班。旅行社张经理要参加全国旅行社推介会，为了在会上宣传旅行社的旅游项目，要求小李做一个旅行社旅游项目宣传演示文稿。</w:t>
            </w:r>
          </w:p>
          <w:p>
            <w:pPr>
              <w:keepNext w:val="0"/>
              <w:keepLines w:val="0"/>
              <w:suppressLineNumbers w:val="0"/>
              <w:spacing w:before="0" w:beforeAutospacing="0" w:after="0" w:afterAutospacing="0"/>
              <w:ind w:left="0" w:right="0" w:firstLine="420" w:firstLineChars="200"/>
              <w:jc w:val="left"/>
              <w:rPr>
                <w:rFonts w:hint="default"/>
              </w:rPr>
            </w:pPr>
          </w:p>
          <w:p>
            <w:pPr>
              <w:keepNext w:val="0"/>
              <w:keepLines w:val="0"/>
              <w:suppressLineNumbers w:val="0"/>
              <w:spacing w:before="0" w:beforeAutospacing="0" w:after="0" w:afterAutospacing="0"/>
              <w:ind w:left="0" w:right="0"/>
              <w:rPr>
                <w:rFonts w:hint="eastAsia"/>
              </w:rPr>
            </w:pPr>
          </w:p>
        </w:tc>
        <w:tc>
          <w:tcPr>
            <w:tcW w:w="720" w:type="dxa"/>
            <w:vAlign w:val="center"/>
          </w:tcPr>
          <w:p>
            <w:pPr>
              <w:keepNext w:val="0"/>
              <w:keepLines w:val="0"/>
              <w:suppressLineNumbers w:val="0"/>
              <w:spacing w:before="0" w:beforeAutospacing="0" w:after="0" w:afterAutospacing="0"/>
              <w:ind w:left="0" w:right="0"/>
              <w:jc w:val="center"/>
              <w:rPr>
                <w:rFonts w:hint="eastAsia"/>
              </w:rPr>
            </w:pP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bCs/>
                <w:color w:val="000000"/>
                <w:sz w:val="22"/>
                <w:szCs w:val="40"/>
              </w:rPr>
              <w:t>任务驱动法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2"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新授</w:t>
            </w:r>
          </w:p>
        </w:tc>
        <w:tc>
          <w:tcPr>
            <w:tcW w:w="6519" w:type="dxa"/>
            <w:gridSpan w:val="4"/>
            <w:vAlign w:val="center"/>
          </w:tcPr>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firstLine="420" w:firstLineChars="200"/>
              <w:rPr>
                <w:rFonts w:hint="default"/>
              </w:rPr>
            </w:pPr>
            <w:r>
              <w:rPr>
                <w:rFonts w:hint="eastAsia"/>
              </w:rPr>
              <w:t>一、设置超链接和创建动作按钮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放映演示文稿时，通过单击超链接和动作按钮可以切换幻灯片、打开网页或文档、发送电子邮件等。</w:t>
            </w:r>
          </w:p>
          <w:p>
            <w:pPr>
              <w:keepNext w:val="0"/>
              <w:keepLines w:val="0"/>
              <w:suppressLineNumbers w:val="0"/>
              <w:spacing w:before="0" w:beforeAutospacing="0" w:after="0" w:afterAutospacing="0"/>
              <w:ind w:left="0" w:right="0" w:firstLine="420" w:firstLineChars="200"/>
              <w:jc w:val="left"/>
              <w:rPr>
                <w:rFonts w:hint="default"/>
                <w:b/>
                <w:bCs/>
                <w:color w:val="000000"/>
                <w:sz w:val="24"/>
                <w:szCs w:val="40"/>
              </w:rPr>
            </w:pPr>
            <w:r>
              <w:rPr>
                <w:rFonts w:hint="eastAsia"/>
              </w:rPr>
              <w:t>Excel 201</w:t>
            </w:r>
            <w:r>
              <w:rPr>
                <w:rFonts w:hint="default"/>
              </w:rPr>
              <w:t>6</w:t>
            </w:r>
            <w:r>
              <w:rPr>
                <w:rFonts w:hint="eastAsia"/>
              </w:rPr>
              <w:t>支持创建各种类型的图表，如柱形图、折线图、饼图、条形图、面积图、散点图等。</w:t>
            </w:r>
          </w:p>
          <w:p>
            <w:pPr>
              <w:keepNext w:val="0"/>
              <w:keepLines w:val="0"/>
              <w:suppressLineNumbers w:val="0"/>
              <w:spacing w:before="0" w:beforeAutospacing="0" w:after="0" w:afterAutospacing="0"/>
              <w:ind w:left="0" w:right="0" w:firstLine="420" w:firstLineChars="200"/>
              <w:rPr>
                <w:rFonts w:hint="default"/>
              </w:rPr>
            </w:pPr>
            <w:r>
              <w:rPr>
                <w:rFonts w:hint="eastAsia"/>
              </w:rPr>
              <w:t>二、为幻灯片设置切换效果</w:t>
            </w:r>
          </w:p>
          <w:p>
            <w:pPr>
              <w:keepNext w:val="0"/>
              <w:keepLines w:val="0"/>
              <w:suppressLineNumbers w:val="0"/>
              <w:spacing w:before="0" w:beforeAutospacing="0" w:after="0" w:afterAutospacing="0"/>
              <w:ind w:left="0" w:right="0" w:firstLine="420" w:firstLineChars="200"/>
              <w:jc w:val="left"/>
              <w:rPr>
                <w:rFonts w:hint="default"/>
                <w:b/>
                <w:bCs/>
                <w:color w:val="000000"/>
                <w:sz w:val="24"/>
                <w:szCs w:val="40"/>
              </w:rPr>
            </w:pPr>
            <w:r>
              <w:rPr>
                <w:rFonts w:hint="eastAsia"/>
              </w:rPr>
              <w:t>幻灯片切换效果是指放映演示文稿时从一张幻灯片过渡到下一张幻灯片时的动画效果。</w:t>
            </w:r>
          </w:p>
          <w:p>
            <w:pPr>
              <w:keepNext w:val="0"/>
              <w:keepLines w:val="0"/>
              <w:suppressLineNumbers w:val="0"/>
              <w:spacing w:before="0" w:beforeAutospacing="0" w:after="0" w:afterAutospacing="0"/>
              <w:ind w:left="0" w:right="0" w:firstLine="420" w:firstLineChars="200"/>
              <w:rPr>
                <w:rFonts w:hint="default"/>
              </w:rPr>
            </w:pPr>
            <w:r>
              <w:rPr>
                <w:rFonts w:hint="eastAsia"/>
              </w:rPr>
              <w:t>三、为幻灯片中的对象设置动画效果</w:t>
            </w:r>
          </w:p>
          <w:p>
            <w:pPr>
              <w:keepNext w:val="0"/>
              <w:keepLines w:val="0"/>
              <w:suppressLineNumbers w:val="0"/>
              <w:spacing w:before="0" w:beforeAutospacing="0" w:after="0" w:afterAutospacing="0"/>
              <w:ind w:left="0" w:right="0" w:firstLine="404" w:firstLineChars="200"/>
              <w:rPr>
                <w:rFonts w:hint="default"/>
              </w:rPr>
            </w:pPr>
            <w:r>
              <w:rPr>
                <w:rFonts w:hint="eastAsia"/>
                <w:spacing w:val="-4"/>
              </w:rPr>
              <w:t>可以</w:t>
            </w:r>
            <w:r>
              <w:rPr>
                <w:rFonts w:hint="eastAsia"/>
              </w:rPr>
              <w:t>为幻灯片中的文本、图片和图形等对象应用各种动画效果，使演示文稿的播放更加精彩。</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tc>
        <w:tc>
          <w:tcPr>
            <w:tcW w:w="720" w:type="dxa"/>
            <w:vAlign w:val="center"/>
          </w:tcPr>
          <w:p>
            <w:pPr>
              <w:keepNext w:val="0"/>
              <w:keepLines w:val="0"/>
              <w:suppressLineNumbers w:val="0"/>
              <w:spacing w:before="0" w:beforeAutospacing="0" w:after="0" w:afterAutospacing="0"/>
              <w:ind w:left="0" w:right="0"/>
              <w:jc w:val="center"/>
              <w:rPr>
                <w:rFonts w:hint="eastAsia"/>
              </w:rPr>
            </w:pP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5" w:type="dxa"/>
            <w:vMerge w:val="restart"/>
            <w:vAlign w:val="center"/>
          </w:tcPr>
          <w:p>
            <w:pPr>
              <w:keepNext w:val="0"/>
              <w:keepLines w:val="0"/>
              <w:suppressLineNumbers w:val="0"/>
              <w:spacing w:before="0" w:beforeAutospacing="0" w:after="0" w:afterAutospacing="0"/>
              <w:ind w:left="0" w:right="0"/>
              <w:jc w:val="center"/>
              <w:rPr>
                <w:rFonts w:hint="eastAsia"/>
              </w:rPr>
            </w:pPr>
            <w:r>
              <w:rPr>
                <w:rFonts w:hint="eastAsia"/>
              </w:rPr>
              <w:t>新授</w:t>
            </w:r>
          </w:p>
        </w:tc>
        <w:tc>
          <w:tcPr>
            <w:tcW w:w="6519" w:type="dxa"/>
            <w:gridSpan w:val="4"/>
            <w:vAlign w:val="center"/>
          </w:tcPr>
          <w:p>
            <w:pPr>
              <w:keepNext w:val="0"/>
              <w:keepLines w:val="0"/>
              <w:suppressLineNumbers w:val="0"/>
              <w:spacing w:before="0" w:beforeAutospacing="0" w:after="0" w:afterAutospacing="0"/>
              <w:ind w:left="0" w:right="0"/>
              <w:jc w:val="center"/>
              <w:rPr>
                <w:rFonts w:hint="eastAsia"/>
              </w:rPr>
            </w:pPr>
            <w:r>
              <w:rPr>
                <w:rFonts w:hint="eastAsia"/>
              </w:rPr>
              <w:t>教学内容</w:t>
            </w:r>
          </w:p>
        </w:tc>
        <w:tc>
          <w:tcPr>
            <w:tcW w:w="720"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教师</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学生</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教学方</w:t>
            </w:r>
          </w:p>
          <w:p>
            <w:pPr>
              <w:keepNext w:val="0"/>
              <w:keepLines w:val="0"/>
              <w:suppressLineNumbers w:val="0"/>
              <w:spacing w:before="0" w:beforeAutospacing="0" w:after="0" w:afterAutospacing="0"/>
              <w:ind w:left="0" w:right="0"/>
              <w:jc w:val="center"/>
              <w:rPr>
                <w:rFonts w:hint="eastAsia"/>
              </w:rPr>
            </w:pPr>
            <w:r>
              <w:rPr>
                <w:rFonts w:hint="eastAsia"/>
              </w:rPr>
              <w:t>法、手段、</w:t>
            </w:r>
          </w:p>
          <w:p>
            <w:pPr>
              <w:keepNext w:val="0"/>
              <w:keepLines w:val="0"/>
              <w:suppressLineNumbers w:val="0"/>
              <w:spacing w:before="0" w:beforeAutospacing="0" w:after="0" w:afterAutospacing="0"/>
              <w:ind w:left="0" w:right="0"/>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5" w:hRule="atLeast"/>
        </w:trPr>
        <w:tc>
          <w:tcPr>
            <w:tcW w:w="785" w:type="dxa"/>
            <w:vMerge w:val="continue"/>
            <w:vAlign w:val="center"/>
          </w:tcPr>
          <w:p>
            <w:pPr>
              <w:keepNext w:val="0"/>
              <w:keepLines w:val="0"/>
              <w:suppressLineNumbers w:val="0"/>
              <w:spacing w:before="0" w:beforeAutospacing="0" w:after="0" w:afterAutospacing="0"/>
              <w:ind w:left="0" w:right="0"/>
              <w:jc w:val="center"/>
              <w:rPr>
                <w:rFonts w:hint="eastAsia"/>
              </w:rPr>
            </w:pPr>
          </w:p>
        </w:tc>
        <w:tc>
          <w:tcPr>
            <w:tcW w:w="6519" w:type="dxa"/>
            <w:gridSpan w:val="4"/>
            <w:vAlign w:val="center"/>
          </w:tcPr>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一、设置超链接</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为“旅行社宣传册”演示文稿中的导航文本设置超链接。</w:t>
            </w:r>
          </w:p>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二、创建动作按钮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为“旅行社宣传册”演示文稿创建向前、向后翻页等动作按钮。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三、为幻灯片设置切换效果</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具体操作为幻灯片设置切换效果。</w:t>
            </w:r>
          </w:p>
          <w:p>
            <w:pPr>
              <w:keepNext w:val="0"/>
              <w:keepLines w:val="0"/>
              <w:suppressLineNumbers w:val="0"/>
              <w:spacing w:before="0" w:beforeAutospacing="0" w:after="0" w:afterAutospacing="0"/>
              <w:ind w:left="0" w:right="0" w:firstLine="420" w:firstLineChars="200"/>
              <w:jc w:val="left"/>
              <w:rPr>
                <w:rFonts w:hint="default"/>
              </w:rPr>
            </w:pPr>
            <w:bookmarkStart w:id="0" w:name="_Toc522961191"/>
            <w:bookmarkStart w:id="1" w:name="_Toc522869296"/>
            <w:r>
              <w:rPr>
                <w:rFonts w:hint="eastAsia"/>
              </w:rPr>
              <w:t>四、为幻灯片中的对象设置动画效果</w:t>
            </w:r>
            <w:bookmarkEnd w:id="0"/>
            <w:bookmarkEnd w:id="1"/>
          </w:p>
          <w:p>
            <w:pPr>
              <w:keepNext w:val="0"/>
              <w:keepLines w:val="0"/>
              <w:suppressLineNumbers w:val="0"/>
              <w:spacing w:before="0" w:beforeAutospacing="0" w:after="0" w:afterAutospacing="0"/>
              <w:ind w:left="0" w:right="0" w:firstLine="420" w:firstLineChars="200"/>
              <w:jc w:val="left"/>
              <w:rPr>
                <w:rFonts w:hint="default"/>
              </w:rPr>
            </w:pPr>
            <w:r>
              <w:rPr>
                <w:rFonts w:hint="eastAsia"/>
              </w:rPr>
              <w:t>利用PowerPoint 201</w:t>
            </w:r>
            <w:r>
              <w:rPr>
                <w:rFonts w:hint="default"/>
              </w:rPr>
              <w:t>6</w:t>
            </w:r>
            <w:r>
              <w:rPr>
                <w:rFonts w:hint="eastAsia"/>
              </w:rPr>
              <w:t>的“动画”选项卡可以为幻灯片中的对象设置各种动画效果，利用“动画窗格”可以对添加的动画效果进行管理。</w:t>
            </w:r>
          </w:p>
          <w:p>
            <w:pPr>
              <w:keepNext w:val="0"/>
              <w:keepLines w:val="0"/>
              <w:suppressLineNumbers w:val="0"/>
              <w:spacing w:before="0" w:beforeAutospacing="0" w:after="0" w:afterAutospacing="0"/>
              <w:ind w:left="0" w:right="0"/>
              <w:rPr>
                <w:rFonts w:hint="eastAsia"/>
              </w:rPr>
            </w:pPr>
          </w:p>
        </w:tc>
        <w:tc>
          <w:tcPr>
            <w:tcW w:w="720" w:type="dxa"/>
            <w:vAlign w:val="center"/>
          </w:tcPr>
          <w:p>
            <w:pPr>
              <w:keepNext w:val="0"/>
              <w:keepLines w:val="0"/>
              <w:suppressLineNumbers w:val="0"/>
              <w:spacing w:before="0" w:beforeAutospacing="0" w:after="0" w:afterAutospacing="0"/>
              <w:ind w:left="0" w:right="0"/>
              <w:rPr>
                <w:rFonts w:hint="eastAsia"/>
              </w:rPr>
            </w:pPr>
          </w:p>
        </w:tc>
        <w:tc>
          <w:tcPr>
            <w:tcW w:w="720" w:type="dxa"/>
            <w:gridSpan w:val="2"/>
            <w:vAlign w:val="center"/>
          </w:tcPr>
          <w:p>
            <w:pPr>
              <w:keepNext w:val="0"/>
              <w:keepLines w:val="0"/>
              <w:suppressLineNumbers w:val="0"/>
              <w:spacing w:before="0" w:beforeAutospacing="0" w:after="0" w:afterAutospacing="0"/>
              <w:ind w:left="0" w:right="0"/>
              <w:rPr>
                <w:rFonts w:hint="eastAsia"/>
              </w:rPr>
            </w:pPr>
          </w:p>
        </w:tc>
        <w:tc>
          <w:tcPr>
            <w:tcW w:w="1092"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总结</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cs="仿宋_GB2312"/>
                <w:color w:val="000000"/>
                <w:position w:val="6"/>
                <w:szCs w:val="21"/>
                <w:lang w:val="en-US" w:eastAsia="zh-CN"/>
              </w:rPr>
              <w:t>本节课注意学习</w:t>
            </w:r>
            <w:r>
              <w:rPr>
                <w:rFonts w:hint="eastAsia" w:ascii="宋体" w:hAnsi="宋体" w:cs="仿宋_GB2312"/>
                <w:color w:val="000000"/>
                <w:position w:val="6"/>
                <w:szCs w:val="21"/>
              </w:rPr>
              <w:t>使用</w:t>
            </w:r>
            <w:r>
              <w:rPr>
                <w:rFonts w:hint="default" w:ascii="宋体" w:hAnsi="宋体" w:cs="仿宋_GB2312"/>
                <w:color w:val="000000"/>
                <w:position w:val="6"/>
                <w:szCs w:val="21"/>
              </w:rPr>
              <w:t>Po</w:t>
            </w:r>
            <w:r>
              <w:rPr>
                <w:rFonts w:hint="eastAsia" w:ascii="宋体" w:hAnsi="宋体" w:cs="仿宋_GB2312"/>
                <w:color w:val="000000"/>
                <w:position w:val="6"/>
                <w:szCs w:val="21"/>
              </w:rPr>
              <w:t>w</w:t>
            </w:r>
            <w:r>
              <w:rPr>
                <w:rFonts w:hint="default" w:ascii="宋体" w:hAnsi="宋体" w:cs="仿宋_GB2312"/>
                <w:color w:val="000000"/>
                <w:position w:val="6"/>
                <w:szCs w:val="21"/>
              </w:rPr>
              <w:t>erPoint</w:t>
            </w:r>
            <w:r>
              <w:rPr>
                <w:rFonts w:hint="eastAsia" w:ascii="宋体" w:hAnsi="宋体" w:cs="仿宋_GB2312"/>
                <w:color w:val="000000"/>
                <w:position w:val="6"/>
                <w:szCs w:val="21"/>
              </w:rPr>
              <w:t>进行制作</w:t>
            </w:r>
            <w:r>
              <w:rPr>
                <w:rFonts w:hint="eastAsia" w:ascii="宋体" w:hAnsi="宋体" w:cs="仿宋_GB2312"/>
                <w:color w:val="000000"/>
                <w:position w:val="6"/>
                <w:szCs w:val="21"/>
                <w:lang w:val="en-US" w:eastAsia="zh-CN"/>
              </w:rPr>
              <w:t>动画和超链接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作业</w:t>
            </w:r>
          </w:p>
        </w:tc>
        <w:tc>
          <w:tcPr>
            <w:tcW w:w="9051" w:type="dxa"/>
            <w:gridSpan w:val="9"/>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使用案例文稿按照流程点击操作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板书</w:t>
            </w:r>
          </w:p>
          <w:p>
            <w:pPr>
              <w:keepNext w:val="0"/>
              <w:keepLines w:val="0"/>
              <w:suppressLineNumbers w:val="0"/>
              <w:spacing w:before="0" w:beforeAutospacing="0" w:after="0" w:afterAutospacing="0"/>
              <w:ind w:left="0" w:right="0"/>
              <w:jc w:val="center"/>
              <w:rPr>
                <w:rFonts w:hint="eastAsia"/>
              </w:rPr>
            </w:pPr>
            <w:r>
              <w:rPr>
                <w:rFonts w:hint="eastAsia"/>
              </w:rPr>
              <w:t>设计</w:t>
            </w:r>
          </w:p>
        </w:tc>
        <w:tc>
          <w:tcPr>
            <w:tcW w:w="9051" w:type="dxa"/>
            <w:gridSpan w:val="9"/>
            <w:vAlign w:val="center"/>
          </w:tcPr>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一、设置超链接</w:t>
            </w:r>
          </w:p>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二、创建动作按钮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三、为幻灯片设置切换效果</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四、为幻灯片中的对象设置动画效果</w:t>
            </w:r>
          </w:p>
          <w:p>
            <w:pPr>
              <w:keepNext w:val="0"/>
              <w:keepLines w:val="0"/>
              <w:suppressLineNumbers w:val="0"/>
              <w:spacing w:before="0" w:beforeAutospacing="0" w:after="0" w:afterAutospacing="0"/>
              <w:ind w:left="0" w:right="0"/>
              <w:rPr>
                <w:rFonts w:hint="eastAsia"/>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w:t>
            </w:r>
          </w:p>
          <w:p>
            <w:pPr>
              <w:keepNext w:val="0"/>
              <w:keepLines w:val="0"/>
              <w:suppressLineNumbers w:val="0"/>
              <w:spacing w:before="0" w:beforeAutospacing="0" w:after="0" w:afterAutospacing="0"/>
              <w:ind w:left="0" w:right="0"/>
              <w:jc w:val="center"/>
              <w:rPr>
                <w:rFonts w:hint="eastAsia"/>
              </w:rPr>
            </w:pPr>
            <w:r>
              <w:rPr>
                <w:rFonts w:hint="eastAsia"/>
              </w:rPr>
              <w:t>后记</w:t>
            </w:r>
          </w:p>
        </w:tc>
        <w:tc>
          <w:tcPr>
            <w:tcW w:w="9051" w:type="dxa"/>
            <w:gridSpan w:val="9"/>
            <w:vAlign w:val="center"/>
          </w:tcPr>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kern w:val="2"/>
                <w:sz w:val="21"/>
                <w:szCs w:val="24"/>
                <w:lang w:val="en-US" w:eastAsia="zh-CN" w:bidi="ar"/>
              </w:rPr>
              <w:t>通过本节课学习，加之学生有操作</w:t>
            </w:r>
            <w:r>
              <w:rPr>
                <w:rFonts w:hint="default" w:ascii="Times New Roman" w:hAnsi="Times New Roman" w:eastAsia="宋体" w:cs="Times New Roman"/>
                <w:kern w:val="2"/>
                <w:sz w:val="21"/>
                <w:szCs w:val="24"/>
                <w:lang w:val="en-US" w:eastAsia="zh-CN" w:bidi="ar"/>
              </w:rPr>
              <w:t>word</w:t>
            </w:r>
            <w:r>
              <w:rPr>
                <w:rFonts w:hint="eastAsia" w:ascii="Times New Roman" w:hAnsi="Times New Roman" w:eastAsia="宋体" w:cs="Times New Roman"/>
                <w:kern w:val="2"/>
                <w:sz w:val="21"/>
                <w:szCs w:val="24"/>
                <w:lang w:val="en-US" w:eastAsia="zh-CN" w:bidi="ar"/>
              </w:rPr>
              <w:t>的基础，对于</w:t>
            </w:r>
            <w:r>
              <w:rPr>
                <w:rFonts w:hint="default" w:ascii="Times New Roman" w:hAnsi="Times New Roman" w:eastAsia="宋体" w:cs="Times New Roman"/>
                <w:kern w:val="2"/>
                <w:sz w:val="21"/>
                <w:szCs w:val="24"/>
                <w:lang w:val="en-US" w:eastAsia="zh-CN" w:bidi="ar"/>
              </w:rPr>
              <w:t>Excel</w:t>
            </w:r>
            <w:r>
              <w:rPr>
                <w:rFonts w:hint="eastAsia" w:ascii="Times New Roman" w:hAnsi="Times New Roman" w:eastAsia="宋体" w:cs="Times New Roman"/>
                <w:kern w:val="2"/>
                <w:sz w:val="21"/>
                <w:szCs w:val="24"/>
                <w:lang w:val="en-US" w:eastAsia="zh-CN" w:bidi="ar"/>
              </w:rPr>
              <w:t>的学习得心应手，但部分学生操作不熟练还需多加练习</w:t>
            </w:r>
          </w:p>
        </w:tc>
      </w:tr>
    </w:tbl>
    <w:p>
      <w:pPr>
        <w:jc w:val="center"/>
        <w:rPr>
          <w:rFonts w:hint="eastAsia"/>
        </w:rPr>
      </w:pPr>
    </w:p>
    <w:p/>
    <w:sectPr>
      <w:pgSz w:w="11906" w:h="16838"/>
      <w:pgMar w:top="1440" w:right="1106"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mODViNjEwNDM0YjA1MGE2YTkxZjBiYTgyOTkwODgifQ=="/>
  </w:docVars>
  <w:rsids>
    <w:rsidRoot w:val="00141240"/>
    <w:rsid w:val="00141240"/>
    <w:rsid w:val="009A19F4"/>
    <w:rsid w:val="00BC3FA6"/>
    <w:rsid w:val="18B94F19"/>
    <w:rsid w:val="263144B4"/>
    <w:rsid w:val="2A085466"/>
    <w:rsid w:val="3FA40DB6"/>
    <w:rsid w:val="6CEA54EF"/>
    <w:rsid w:val="7965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47</Words>
  <Characters>271</Characters>
  <Lines>2</Lines>
  <Paragraphs>1</Paragraphs>
  <TotalTime>0</TotalTime>
  <ScaleCrop>false</ScaleCrop>
  <LinksUpToDate>false</LinksUpToDate>
  <CharactersWithSpaces>317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2023-10-08T02:00:00Z</dcterms:created>
  <dc:creator>Windows User</dc:creator>
  <cp:lastModifiedBy>Administrator</cp:lastModifiedBy>
  <dcterms:modified xsi:type="dcterms:W3CDTF">2023-10-08T09:35:45Z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F308CFD8A4534776ADA5256C42C8FBD3_12</vt:lpwstr>
  </property>
</Properties>
</file>